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597DD9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7DD9" w:rsidRDefault="00597DD9" w:rsidP="00592769">
            <w:pPr>
              <w:pStyle w:val="Ledtext"/>
            </w:pPr>
            <w:r>
              <w:t>Operatör:</w:t>
            </w:r>
          </w:p>
        </w:tc>
      </w:tr>
      <w:tr w:rsidR="00597DD9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9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DD9">
              <w:instrText xml:space="preserve"> FORMTEXT </w:instrText>
            </w:r>
            <w:r>
              <w:fldChar w:fldCharType="separate"/>
            </w:r>
            <w:bookmarkStart w:id="0" w:name="_GoBack"/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r w:rsidR="00597DD9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FF5FD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D0" w:rsidRDefault="00FF5FD0" w:rsidP="00735A19">
            <w:pPr>
              <w:pStyle w:val="Ledtext"/>
            </w:pPr>
            <w:r>
              <w:t>Tillståndsnummer: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5FD0" w:rsidRDefault="00FF5FD0" w:rsidP="00735A19">
            <w:pPr>
              <w:pStyle w:val="Ledtext"/>
            </w:pPr>
            <w:r>
              <w:t>Ifylld EASA Form 2</w:t>
            </w:r>
          </w:p>
        </w:tc>
      </w:tr>
      <w:tr w:rsidR="00FF5FD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0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5FD0">
              <w:instrText xml:space="preserve"> FORMTEXT </w:instrText>
            </w:r>
            <w:r>
              <w:fldChar w:fldCharType="separate"/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 w:rsidR="00FF5FD0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D0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F5FD0">
              <w:instrText xml:space="preserve"> FORMCHECKBOX </w:instrText>
            </w:r>
            <w:r w:rsidR="00E756D6">
              <w:fldChar w:fldCharType="separate"/>
            </w:r>
            <w:r>
              <w:fldChar w:fldCharType="end"/>
            </w:r>
          </w:p>
        </w:tc>
      </w:tr>
      <w:tr w:rsidR="00674565" w:rsidTr="00674565"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:rsidR="00674565" w:rsidRDefault="00674565" w:rsidP="00735A19">
            <w:pPr>
              <w:pStyle w:val="Rubrik3"/>
              <w:outlineLvl w:val="2"/>
            </w:pPr>
            <w:r>
              <w:t>Transportstyrelsen</w:t>
            </w:r>
          </w:p>
        </w:tc>
      </w:tr>
      <w:tr w:rsidR="00674565" w:rsidTr="00674565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735A19">
            <w:pPr>
              <w:pStyle w:val="Ledtext"/>
            </w:pPr>
            <w:r>
              <w:t>Ärendenummer: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735A19">
            <w:pPr>
              <w:pStyle w:val="Ledtext"/>
            </w:pPr>
            <w:r>
              <w:t>Handläggare:</w:t>
            </w:r>
          </w:p>
        </w:tc>
      </w:tr>
      <w:tr w:rsidR="00674565" w:rsidRPr="00735A19" w:rsidTr="00674565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565" w:rsidTr="00674565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674565" w:rsidP="00592769">
            <w:pPr>
              <w:pStyle w:val="Ledtext"/>
            </w:pPr>
            <w:r>
              <w:t>Berörda sektioner/samråd:</w:t>
            </w:r>
          </w:p>
        </w:tc>
      </w:tr>
      <w:tr w:rsidR="00674565" w:rsidTr="00674565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74565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4565">
              <w:instrText xml:space="preserve"> FORMTEXT </w:instrText>
            </w:r>
            <w:r>
              <w:fldChar w:fldCharType="separate"/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 w:rsidR="00674565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4565" w:rsidTr="00735A19">
        <w:tc>
          <w:tcPr>
            <w:tcW w:w="10061" w:type="dxa"/>
            <w:gridSpan w:val="3"/>
          </w:tcPr>
          <w:p w:rsidR="00674565" w:rsidRDefault="00674565" w:rsidP="00735A19">
            <w:pPr>
              <w:pStyle w:val="Rubrik3"/>
              <w:outlineLvl w:val="2"/>
            </w:pPr>
            <w:r>
              <w:t>Information</w:t>
            </w:r>
          </w:p>
        </w:tc>
      </w:tr>
      <w:tr w:rsidR="00674565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4565" w:rsidRDefault="00674565" w:rsidP="00592769">
            <w:pPr>
              <w:pStyle w:val="Ledtext"/>
            </w:pPr>
          </w:p>
        </w:tc>
      </w:tr>
      <w:tr w:rsidR="00674565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3" w:rsidRDefault="008D6647" w:rsidP="002B144B">
            <w:pPr>
              <w:pStyle w:val="Blankettext"/>
              <w:rPr>
                <w:rFonts w:asciiTheme="minorHAnsi" w:hAnsiTheme="minorHAnsi" w:cstheme="minorHAnsi"/>
              </w:rPr>
            </w:pPr>
            <w:r w:rsidRPr="00053689">
              <w:rPr>
                <w:rFonts w:asciiTheme="minorHAnsi" w:hAnsiTheme="minorHAnsi" w:cstheme="minorHAnsi"/>
              </w:rPr>
              <w:t xml:space="preserve">Denna checklista är avsedd som stöd vid ansökan om </w:t>
            </w:r>
            <w:r w:rsidR="002B144B" w:rsidRPr="00053689">
              <w:rPr>
                <w:rFonts w:asciiTheme="minorHAnsi" w:hAnsiTheme="minorHAnsi" w:cstheme="minorHAnsi"/>
              </w:rPr>
              <w:t>att få transportera farligt gods.</w:t>
            </w:r>
          </w:p>
          <w:p w:rsidR="00FC4227" w:rsidRDefault="00053689" w:rsidP="00735A19">
            <w:pPr>
              <w:pStyle w:val="Blanket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Ange var i det operativa manualverket</w:t>
            </w:r>
            <w:r w:rsidR="002F0D1A">
              <w:rPr>
                <w:rFonts w:asciiTheme="minorHAnsi" w:hAnsiTheme="minorHAnsi" w:cstheme="minorHAnsi"/>
              </w:rPr>
              <w:t xml:space="preserve"> (eller i annat styrande dokument)</w:t>
            </w:r>
            <w:r>
              <w:rPr>
                <w:rFonts w:asciiTheme="minorHAnsi" w:hAnsiTheme="minorHAnsi" w:cstheme="minorHAnsi"/>
              </w:rPr>
              <w:t xml:space="preserve"> momentet återfinns</w:t>
            </w:r>
            <w:r w:rsidR="002F0D1A">
              <w:rPr>
                <w:rFonts w:asciiTheme="minorHAnsi" w:hAnsiTheme="minorHAnsi" w:cstheme="minorHAnsi"/>
              </w:rPr>
              <w:t xml:space="preserve"> och detta så detaljerat som möjligt för att underlätta och påskynda granskning och handläggning.</w:t>
            </w:r>
          </w:p>
          <w:p w:rsidR="00C46D67" w:rsidRDefault="00C46D67" w:rsidP="00C46D67">
            <w:pPr>
              <w:pStyle w:val="Blanket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Om en punkt inte är relevant, markera rutan med N/A.</w:t>
            </w:r>
          </w:p>
          <w:p w:rsidR="00E9101A" w:rsidRDefault="00E9101A" w:rsidP="00C46D67">
            <w:pPr>
              <w:pStyle w:val="Blankettext"/>
              <w:rPr>
                <w:rFonts w:asciiTheme="minorHAnsi" w:hAnsiTheme="minorHAnsi" w:cstheme="minorHAnsi"/>
              </w:rPr>
            </w:pPr>
          </w:p>
          <w:p w:rsidR="00E9101A" w:rsidRDefault="00E9101A" w:rsidP="00C46D67">
            <w:pPr>
              <w:pStyle w:val="Blanket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Formatet och strukturen i den operativa manualen bör följa den rekommenderade ordningen i ORO.MLR.100 med tillhörande AMC.</w:t>
            </w:r>
          </w:p>
          <w:p w:rsidR="00093844" w:rsidRDefault="00093844" w:rsidP="00735A19">
            <w:pPr>
              <w:pStyle w:val="Blankettext"/>
              <w:rPr>
                <w:rFonts w:asciiTheme="minorHAnsi" w:hAnsiTheme="minorHAnsi" w:cstheme="minorHAnsi"/>
              </w:rPr>
            </w:pPr>
          </w:p>
          <w:tbl>
            <w:tblPr>
              <w:tblStyle w:val="Tabellrutnt"/>
              <w:tblW w:w="0" w:type="auto"/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9830"/>
            </w:tblGrid>
            <w:tr w:rsidR="00093844" w:rsidTr="00093844">
              <w:tc>
                <w:tcPr>
                  <w:tcW w:w="9830" w:type="dxa"/>
                  <w:shd w:val="clear" w:color="auto" w:fill="92D050"/>
                </w:tcPr>
                <w:p w:rsidR="00093844" w:rsidRPr="00053689" w:rsidRDefault="00093844" w:rsidP="00093844">
                  <w:pPr>
                    <w:pStyle w:val="Brdtext21"/>
                    <w:tabs>
                      <w:tab w:val="left" w:pos="709"/>
                      <w:tab w:val="left" w:pos="993"/>
                    </w:tabs>
                    <w:ind w:left="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sv-SE"/>
                    </w:rPr>
                  </w:pPr>
                  <w:r w:rsidRPr="00053689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lang w:val="sv-SE"/>
                    </w:rPr>
                    <w:t>Där grönmarkerade rutor förekommer ska relevanta bilagor sändas in.</w:t>
                  </w:r>
                </w:p>
                <w:p w:rsidR="00093844" w:rsidRPr="00093844" w:rsidRDefault="00093844" w:rsidP="00093844">
                  <w:pPr>
                    <w:pStyle w:val="Blankettext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B80909">
                    <w:rPr>
                      <w:rFonts w:asciiTheme="minorHAnsi" w:hAnsiTheme="minorHAnsi" w:cstheme="minorHAnsi"/>
                      <w:bCs/>
                    </w:rPr>
                    <w:t>Bilagans nummer ska anges i checklistan.</w:t>
                  </w:r>
                </w:p>
              </w:tc>
            </w:tr>
          </w:tbl>
          <w:p w:rsidR="00093844" w:rsidRDefault="00093844" w:rsidP="00735A19">
            <w:pPr>
              <w:pStyle w:val="Blankettext"/>
              <w:rPr>
                <w:rFonts w:asciiTheme="minorHAnsi" w:hAnsiTheme="minorHAnsi" w:cstheme="minorHAnsi"/>
              </w:rPr>
            </w:pPr>
          </w:p>
          <w:p w:rsidR="00B05133" w:rsidRDefault="00B05133" w:rsidP="00093844">
            <w:pPr>
              <w:pStyle w:val="Blankettext"/>
            </w:pPr>
          </w:p>
        </w:tc>
      </w:tr>
      <w:tr w:rsidR="008D0788" w:rsidRPr="002E2CC1" w:rsidTr="00735A19">
        <w:tc>
          <w:tcPr>
            <w:tcW w:w="10061" w:type="dxa"/>
            <w:gridSpan w:val="3"/>
          </w:tcPr>
          <w:p w:rsidR="008D0788" w:rsidRPr="002E2CC1" w:rsidRDefault="008D0788" w:rsidP="00D438B0">
            <w:pPr>
              <w:pStyle w:val="Rubrik2"/>
              <w:outlineLvl w:val="1"/>
              <w:rPr>
                <w:lang w:val="en-GB"/>
              </w:rPr>
            </w:pPr>
            <w:r w:rsidRPr="002E2CC1">
              <w:rPr>
                <w:lang w:val="en-GB"/>
              </w:rPr>
              <w:t>SPA.</w:t>
            </w:r>
            <w:r w:rsidR="00D438B0" w:rsidRPr="002E2CC1">
              <w:rPr>
                <w:lang w:val="en-GB"/>
              </w:rPr>
              <w:t>DG</w:t>
            </w:r>
            <w:r w:rsidRPr="002E2CC1">
              <w:rPr>
                <w:lang w:val="en-GB"/>
              </w:rPr>
              <w:t>.100</w:t>
            </w:r>
            <w:r w:rsidR="002E2CC1" w:rsidRPr="002E2CC1">
              <w:rPr>
                <w:lang w:val="en-GB"/>
              </w:rPr>
              <w:t xml:space="preserve"> Transport of dangerous goods</w:t>
            </w:r>
          </w:p>
        </w:tc>
      </w:tr>
      <w:tr w:rsidR="009F3560" w:rsidRPr="002E2CC1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560" w:rsidRPr="002E2CC1" w:rsidRDefault="009F3560" w:rsidP="00592769">
            <w:pPr>
              <w:pStyle w:val="Ledtext"/>
              <w:rPr>
                <w:lang w:val="en-GB"/>
              </w:rPr>
            </w:pPr>
          </w:p>
        </w:tc>
      </w:tr>
      <w:tr w:rsidR="009F3560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60" w:rsidRPr="00540DB2" w:rsidRDefault="00D438B0" w:rsidP="00540DB2">
            <w:pPr>
              <w:autoSpaceDE w:val="0"/>
              <w:autoSpaceDN w:val="0"/>
              <w:adjustRightInd w:val="0"/>
            </w:pPr>
            <w:r w:rsidRPr="00540DB2">
              <w:rPr>
                <w:rFonts w:ascii="Calibri" w:hAnsi="Calibri" w:cs="Calibri"/>
                <w:lang w:val="en-GB"/>
              </w:rPr>
              <w:t>Except as provided for in Annex IV (Part-CAT), Annex VI (Part-NCC), Annex VII (Part-NCO) and Annex VIII</w:t>
            </w:r>
            <w:r w:rsidR="00540DB2" w:rsidRPr="00540DB2">
              <w:rPr>
                <w:rFonts w:ascii="Calibri" w:hAnsi="Calibri" w:cs="Calibri"/>
                <w:lang w:val="en-GB"/>
              </w:rPr>
              <w:t xml:space="preserve"> </w:t>
            </w:r>
            <w:r w:rsidRPr="00540DB2">
              <w:rPr>
                <w:rFonts w:ascii="Calibri" w:hAnsi="Calibri" w:cs="Calibri"/>
                <w:lang w:val="en-GB"/>
              </w:rPr>
              <w:t>(Part-SPO), the operator shall only transport dangerous goods by air if the operator has been approved</w:t>
            </w:r>
            <w:r w:rsidR="00540DB2" w:rsidRPr="00540DB2">
              <w:rPr>
                <w:rFonts w:ascii="Calibri" w:hAnsi="Calibri" w:cs="Calibri"/>
                <w:lang w:val="en-GB"/>
              </w:rPr>
              <w:t xml:space="preserve"> </w:t>
            </w:r>
            <w:r w:rsidRPr="00540DB2">
              <w:rPr>
                <w:rFonts w:ascii="Calibri" w:hAnsi="Calibri" w:cs="Calibri"/>
              </w:rPr>
              <w:t>by the competent authority.</w:t>
            </w:r>
          </w:p>
        </w:tc>
      </w:tr>
      <w:tr w:rsidR="00F43A5D" w:rsidRPr="009D2BFB" w:rsidTr="00735A19">
        <w:tc>
          <w:tcPr>
            <w:tcW w:w="10061" w:type="dxa"/>
            <w:gridSpan w:val="3"/>
          </w:tcPr>
          <w:p w:rsidR="00F43A5D" w:rsidRPr="00F43A5D" w:rsidRDefault="004622BA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 xml:space="preserve">SPA.DG.105 </w:t>
            </w:r>
            <w:r w:rsidR="002E2CC1">
              <w:rPr>
                <w:lang w:val="en-GB"/>
              </w:rPr>
              <w:t>Approval to transport dangerous goods</w:t>
            </w:r>
          </w:p>
        </w:tc>
      </w:tr>
      <w:tr w:rsidR="00042D78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D78" w:rsidRDefault="00042D78" w:rsidP="00592769">
            <w:pPr>
              <w:pStyle w:val="Ledtext"/>
            </w:pPr>
          </w:p>
        </w:tc>
      </w:tr>
      <w:tr w:rsidR="00042D78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D78" w:rsidRDefault="00EF6F8B" w:rsidP="00DC1276">
            <w:pPr>
              <w:autoSpaceDE w:val="0"/>
              <w:autoSpaceDN w:val="0"/>
              <w:adjustRightInd w:val="0"/>
            </w:pPr>
            <w:r w:rsidRPr="00EF6F8B">
              <w:rPr>
                <w:rFonts w:ascii="Calibri" w:hAnsi="Calibri" w:cs="Calibri"/>
                <w:lang w:val="en-GB"/>
              </w:rPr>
              <w:t xml:space="preserve">To obtain the approval to transport dangerous goods, the operator shall in accordance with the </w:t>
            </w:r>
            <w:r w:rsidR="00DC1276">
              <w:rPr>
                <w:rFonts w:ascii="Calibri" w:hAnsi="Calibri" w:cs="Calibri"/>
                <w:lang w:val="en-GB"/>
              </w:rPr>
              <w:t xml:space="preserve">ICAO </w:t>
            </w:r>
            <w:r w:rsidRPr="00EF6F8B">
              <w:rPr>
                <w:rFonts w:ascii="Calibri" w:hAnsi="Calibri" w:cs="Calibri"/>
                <w:lang w:val="en-GB"/>
              </w:rPr>
              <w:t>technical</w:t>
            </w:r>
            <w:r w:rsidR="00DC1276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</w:rPr>
              <w:t>instructions</w:t>
            </w:r>
            <w:r w:rsidR="00DC1276">
              <w:rPr>
                <w:rFonts w:ascii="Calibri" w:hAnsi="Calibri" w:cs="Calibri"/>
              </w:rPr>
              <w:t xml:space="preserve"> (ICAO-TI Doc 9284) valid edition</w:t>
            </w:r>
            <w:r>
              <w:rPr>
                <w:rFonts w:ascii="Calibri" w:hAnsi="Calibri" w:cs="Calibri"/>
              </w:rPr>
              <w:t>:</w:t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</w:t>
            </w:r>
            <w:r w:rsidR="00C636FD"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(a) establish and maintain a training programme for all personnel involved and demonstrate to the</w:t>
            </w:r>
          </w:p>
          <w:p w:rsidR="00EF6F8B" w:rsidRDefault="00EF6F8B" w:rsidP="00EF6F8B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competent authority that adequate training has been given to all personnel;</w:t>
            </w:r>
          </w:p>
          <w:p w:rsidR="00DC1276" w:rsidRPr="00DC1276" w:rsidRDefault="00DC1276" w:rsidP="005E5901">
            <w:pPr>
              <w:pStyle w:val="Blankettext"/>
              <w:spacing w:line="240" w:lineRule="auto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För kontrakterad personal ska krav ställas via avtal. Demonstrera I detta fall kan göras genom att operatören visar hur det praktiskt är tänkt att fungera, t. ex. 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a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tt utbildning köps från en IATA-certifierad leverantör av CAT 7.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</w:t>
            </w:r>
            <w:r w:rsidR="00C636FD"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(b) establish operating procedures to ensure the safe handling of dangerous goods at all stages of air</w:t>
            </w:r>
          </w:p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transport, containing information and instructions on:</w:t>
            </w:r>
          </w:p>
          <w:p w:rsidR="00EF6F8B" w:rsidRDefault="00EF6F8B" w:rsidP="00EF6F8B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(1) the operator’s policy to transport dangerous goods;</w:t>
            </w:r>
          </w:p>
          <w:p w:rsidR="00DC1276" w:rsidRPr="00DC1276" w:rsidRDefault="00DC1276" w:rsidP="005E5901">
            <w:pPr>
              <w:pStyle w:val="Blankettext"/>
              <w:spacing w:line="240" w:lineRule="auto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Kan vara 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i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 form av ett IATA SGHA med referenser till industristandard för kontrakterade tjänster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P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(2) the requirements for acceptance, handling, loading, stowage and segregation of dangerous</w:t>
            </w:r>
          </w:p>
          <w:p w:rsidR="00EF6F8B" w:rsidRDefault="00EF6F8B" w:rsidP="00EF6F8B">
            <w:pPr>
              <w:pStyle w:val="Blanket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goods;</w:t>
            </w:r>
          </w:p>
          <w:p w:rsidR="00DC1276" w:rsidRPr="00DC1276" w:rsidRDefault="00DC1276" w:rsidP="00EF6F8B">
            <w:pPr>
              <w:pStyle w:val="Blankettext"/>
              <w:rPr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Hänvisning till industristandard enligt ORO.MLR.100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(3) actions to take in the event of an aircraft accident or incident when dangerous goods are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F6F8B">
              <w:rPr>
                <w:rFonts w:ascii="Calibri" w:hAnsi="Calibri" w:cs="Calibri"/>
                <w:lang w:val="en-GB"/>
              </w:rPr>
              <w:t>being carried;</w:t>
            </w:r>
          </w:p>
          <w:p w:rsidR="00DC1276" w:rsidRPr="00DC1276" w:rsidRDefault="00DC1276" w:rsidP="00EF6F8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Se ICAO Doc 9481, Emergency Response Guide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(4) the response to emergency situations involving dangerous goods;</w:t>
            </w:r>
          </w:p>
          <w:p w:rsidR="00DC1276" w:rsidRPr="00EF6F8B" w:rsidRDefault="00DC1276" w:rsidP="00735A19">
            <w:pPr>
              <w:pStyle w:val="Blankettext"/>
              <w:rPr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Se ICAO Doc 9481, Emergency Response Guide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  <w:r w:rsidR="00C636FD">
              <w:t>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(5) the removal of any possible contamination;</w:t>
            </w:r>
          </w:p>
          <w:p w:rsidR="00DC1276" w:rsidRPr="00DC1276" w:rsidRDefault="00DC1276" w:rsidP="00735A19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Notera att detta också berör luftvärdigheten.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EF6F8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F6F8B">
              <w:rPr>
                <w:rFonts w:ascii="Calibri" w:hAnsi="Calibri" w:cs="Calibri"/>
                <w:lang w:val="en-GB"/>
              </w:rPr>
              <w:t>(6) the duties of all personnel involved, especially with relevance to ground handling and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E25603">
              <w:rPr>
                <w:rFonts w:ascii="Calibri" w:hAnsi="Calibri" w:cs="Calibri"/>
                <w:lang w:val="en-GB"/>
              </w:rPr>
              <w:t>aircraft handling;</w:t>
            </w:r>
          </w:p>
          <w:p w:rsidR="00DC1276" w:rsidRPr="00DC1276" w:rsidRDefault="00DC1276" w:rsidP="00EF6F8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För kontrakterad personal ska krav ställas via avtal.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25603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(7) inspection for damage, leakage or contamination;</w:t>
            </w:r>
          </w:p>
          <w:p w:rsidR="00DC1276" w:rsidRPr="00DC1276" w:rsidRDefault="00DC1276" w:rsidP="00735A19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För kontrakterad personal ska krav ställas via avtal.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6F8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8B" w:rsidRDefault="00C636FD" w:rsidP="00735A19">
            <w:pPr>
              <w:pStyle w:val="Ledtext"/>
            </w:pPr>
            <w:r>
              <w:t>TS notering:</w:t>
            </w:r>
          </w:p>
        </w:tc>
      </w:tr>
      <w:tr w:rsidR="00EF6F8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25603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(8) dangerous goods accident and incident reporting.</w:t>
            </w:r>
          </w:p>
          <w:p w:rsidR="00DC1276" w:rsidRPr="00DC1276" w:rsidRDefault="00DC1276" w:rsidP="00DC1276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Gäller 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bå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de nationell och lokal rapportering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8B" w:rsidRDefault="00EF6F8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42D78" w:rsidRPr="00E25603" w:rsidTr="00735A19">
        <w:tc>
          <w:tcPr>
            <w:tcW w:w="10061" w:type="dxa"/>
            <w:gridSpan w:val="3"/>
          </w:tcPr>
          <w:p w:rsidR="00042D78" w:rsidRPr="00042D78" w:rsidRDefault="00E25603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AMC1 SPA.DG.105(a) Approval to transport dangerous goods</w:t>
            </w:r>
          </w:p>
        </w:tc>
      </w:tr>
      <w:tr w:rsidR="00E25603" w:rsidTr="00735A19">
        <w:tc>
          <w:tcPr>
            <w:tcW w:w="10061" w:type="dxa"/>
            <w:gridSpan w:val="3"/>
          </w:tcPr>
          <w:p w:rsidR="00E25603" w:rsidRDefault="00E25603" w:rsidP="00735A19">
            <w:pPr>
              <w:pStyle w:val="Rubrik3"/>
              <w:outlineLvl w:val="2"/>
            </w:pPr>
            <w:r>
              <w:t>TRAINING PROGRAMME</w:t>
            </w:r>
          </w:p>
        </w:tc>
      </w:tr>
      <w:tr w:rsidR="00E25603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603" w:rsidRDefault="00C636FD" w:rsidP="00735A19">
            <w:pPr>
              <w:pStyle w:val="Ledtext"/>
            </w:pPr>
            <w:r>
              <w:t>TS notering:</w:t>
            </w:r>
          </w:p>
        </w:tc>
      </w:tr>
      <w:tr w:rsidR="00E25603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Pr="00E25603" w:rsidRDefault="00E25603" w:rsidP="00E2560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(a) The operator should indicate for the approval of the training programme how the training will be</w:t>
            </w:r>
          </w:p>
          <w:p w:rsidR="00E25603" w:rsidRDefault="00E25603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E25603">
              <w:rPr>
                <w:rFonts w:ascii="Calibri" w:hAnsi="Calibri" w:cs="Calibri"/>
                <w:lang w:val="en-GB"/>
              </w:rPr>
              <w:t>carried out. For formal training courses, the course objectives, the training programme</w:t>
            </w:r>
            <w:r w:rsidR="005239F0">
              <w:rPr>
                <w:rFonts w:ascii="Calibri" w:hAnsi="Calibri" w:cs="Calibri"/>
                <w:lang w:val="en-GB"/>
              </w:rPr>
              <w:t xml:space="preserve"> </w:t>
            </w:r>
            <w:r w:rsidRPr="00E25603">
              <w:rPr>
                <w:rFonts w:ascii="Calibri" w:hAnsi="Calibri" w:cs="Calibri"/>
                <w:lang w:val="en-GB"/>
              </w:rPr>
              <w:t>syllabus/curricula and examples of the written examination to be undertaken should be included.</w:t>
            </w:r>
          </w:p>
          <w:p w:rsidR="00DC1276" w:rsidRPr="00DC1276" w:rsidRDefault="00DC1276" w:rsidP="00DC1276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För kontrakterad personal ska krav ställas via avtal. Notera även att lokala krav ska omhändertas.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603" w:rsidRDefault="00E25603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Pr="005239F0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(b) Instructors should have knowledge of training techniques as well as in the field of transport of</w:t>
            </w:r>
          </w:p>
          <w:p w:rsidR="005239F0" w:rsidRDefault="005239F0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dangerous goods by air so that the subject is covered fully and questions can be adequately</w:t>
            </w:r>
            <w:r w:rsidR="00F033E9">
              <w:rPr>
                <w:rFonts w:ascii="Calibri" w:hAnsi="Calibri" w:cs="Calibri"/>
                <w:lang w:val="en-GB"/>
              </w:rPr>
              <w:t xml:space="preserve"> </w:t>
            </w:r>
            <w:r w:rsidRPr="00F033E9">
              <w:rPr>
                <w:rFonts w:ascii="Calibri" w:hAnsi="Calibri" w:cs="Calibri"/>
                <w:lang w:val="en-GB"/>
              </w:rPr>
              <w:t>answered.</w:t>
            </w:r>
          </w:p>
          <w:p w:rsidR="00DC1276" w:rsidRPr="00DC1276" w:rsidRDefault="00DC1276" w:rsidP="00F033E9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Även CBT ska kvalitetssäkras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(c) Training intended to give general information and guidance may be by any means including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handouts, leaflets, circulars, slide presentations, videos, computer-based training, etc., and may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take place on-the-job or off-the-job. The person being trained should receive an overall awareness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of the subject. This training should include a written, oral or computer-based examination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covering all areas of the training programme, showing that a required minimum level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knowledge has been acquired.</w:t>
            </w:r>
          </w:p>
          <w:p w:rsidR="00DC1276" w:rsidRPr="00DC1276" w:rsidRDefault="00DC1276" w:rsidP="005239F0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Operatören bör ha en policy beträffande test och auktorisation.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39F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9F0" w:rsidRDefault="00C636FD" w:rsidP="00735A19">
            <w:pPr>
              <w:pStyle w:val="Ledtext"/>
            </w:pPr>
            <w:r>
              <w:t>TS notering:</w:t>
            </w:r>
          </w:p>
        </w:tc>
      </w:tr>
      <w:tr w:rsidR="005239F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Pr="005239F0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(d) Training intended to give an in-depth and detailed appreciation of the whole subject or particular</w:t>
            </w:r>
            <w:r w:rsidR="00F033E9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>aspects of it should be by formal training courses, which should include a written examination, the</w:t>
            </w:r>
          </w:p>
          <w:p w:rsidR="005239F0" w:rsidRPr="005239F0" w:rsidRDefault="005239F0" w:rsidP="005239F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>successful passing of which will result in the issue of the proof of qualification. The course may be by</w:t>
            </w:r>
          </w:p>
          <w:p w:rsidR="005239F0" w:rsidRDefault="005239F0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5239F0">
              <w:rPr>
                <w:rFonts w:ascii="Calibri" w:hAnsi="Calibri" w:cs="Calibri"/>
                <w:lang w:val="en-GB"/>
              </w:rPr>
              <w:t xml:space="preserve">means of tuition, as a self-study programme, or a mixture of both. </w:t>
            </w:r>
            <w:r w:rsidRPr="00F033E9">
              <w:rPr>
                <w:rFonts w:ascii="Calibri" w:hAnsi="Calibri" w:cs="Calibri"/>
                <w:lang w:val="en-GB"/>
              </w:rPr>
              <w:t>The person being trained should</w:t>
            </w:r>
            <w:r w:rsidR="00F033E9" w:rsidRPr="00F033E9">
              <w:rPr>
                <w:rFonts w:ascii="Calibri" w:hAnsi="Calibri" w:cs="Calibri"/>
                <w:lang w:val="en-GB"/>
              </w:rPr>
              <w:t xml:space="preserve"> </w:t>
            </w:r>
            <w:r w:rsidRPr="005239F0">
              <w:rPr>
                <w:rFonts w:ascii="Calibri" w:hAnsi="Calibri" w:cs="Calibri"/>
                <w:lang w:val="en-GB"/>
              </w:rPr>
              <w:t xml:space="preserve">gain sufficient knowledge so as to be able to apply the detailed rules of the </w:t>
            </w:r>
            <w:r w:rsidR="005E5901">
              <w:rPr>
                <w:rFonts w:ascii="Calibri" w:hAnsi="Calibri" w:cs="Calibri"/>
                <w:lang w:val="en-GB"/>
              </w:rPr>
              <w:t xml:space="preserve">ICAO-TI, </w:t>
            </w:r>
            <w:r w:rsidRPr="005239F0">
              <w:rPr>
                <w:rFonts w:ascii="Calibri" w:hAnsi="Calibri" w:cs="Calibri"/>
                <w:lang w:val="en-GB"/>
              </w:rPr>
              <w:t>Technical Instructions.</w:t>
            </w:r>
          </w:p>
          <w:p w:rsidR="00DC1276" w:rsidRPr="005239F0" w:rsidRDefault="00DC1276" w:rsidP="00F033E9">
            <w:pPr>
              <w:autoSpaceDE w:val="0"/>
              <w:autoSpaceDN w:val="0"/>
              <w:adjustRightInd w:val="0"/>
              <w:rPr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Operatören bör ha en policy beträffande test och auktorisation.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F0" w:rsidRDefault="005239F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E9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636FD" w:rsidP="00735A19">
            <w:pPr>
              <w:pStyle w:val="Ledtext"/>
            </w:pPr>
            <w:r>
              <w:t>TS notering:</w:t>
            </w:r>
          </w:p>
        </w:tc>
      </w:tr>
      <w:tr w:rsidR="00F033E9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(e) Training in emergency procedures should include as a minimum: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(1) for personnel other than crew members: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(i) dealing with damaged or leaking packages; and</w:t>
            </w:r>
          </w:p>
          <w:p w:rsidR="00F033E9" w:rsidRDefault="00F033E9" w:rsidP="00F033E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(ii) other actions in the event of ground emergencies arising from dangerous goods;</w:t>
            </w:r>
          </w:p>
          <w:p w:rsidR="00DC1276" w:rsidRPr="00DC1276" w:rsidRDefault="00DC1276" w:rsidP="00F033E9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Ska även ta hand om lokala krav.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3E9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E9" w:rsidRDefault="00C636FD" w:rsidP="00735A19">
            <w:pPr>
              <w:pStyle w:val="Ledtext"/>
            </w:pPr>
            <w:r>
              <w:t>TS notering:</w:t>
            </w:r>
          </w:p>
        </w:tc>
      </w:tr>
      <w:tr w:rsidR="00F033E9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(2) for flight crew members:</w:t>
            </w:r>
          </w:p>
          <w:p w:rsidR="00F033E9" w:rsidRPr="00F033E9" w:rsidRDefault="00F033E9" w:rsidP="00F033E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>(i) actions in the event of emergencies in flight occurring in the passenger compartment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033E9">
              <w:rPr>
                <w:rFonts w:ascii="Calibri" w:hAnsi="Calibri" w:cs="Calibri"/>
                <w:lang w:val="en-GB"/>
              </w:rPr>
              <w:t>or in the cargo compartments; and</w:t>
            </w:r>
          </w:p>
          <w:p w:rsidR="00F033E9" w:rsidRDefault="00F033E9" w:rsidP="00977C65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F033E9">
              <w:rPr>
                <w:rFonts w:ascii="Calibri" w:hAnsi="Calibri" w:cs="Calibri"/>
                <w:lang w:val="en-GB"/>
              </w:rPr>
              <w:t xml:space="preserve">(ii) the notification to ATS should an in-flight </w:t>
            </w:r>
            <w:r w:rsidR="00977C65">
              <w:rPr>
                <w:rFonts w:ascii="Calibri" w:hAnsi="Calibri" w:cs="Calibri"/>
                <w:lang w:val="en-GB"/>
              </w:rPr>
              <w:t>E</w:t>
            </w:r>
            <w:r w:rsidRPr="00F033E9">
              <w:rPr>
                <w:rFonts w:ascii="Calibri" w:hAnsi="Calibri" w:cs="Calibri"/>
                <w:lang w:val="en-GB"/>
              </w:rPr>
              <w:t>mergency occur;</w:t>
            </w:r>
          </w:p>
          <w:p w:rsidR="00DC1276" w:rsidRPr="00DC1276" w:rsidRDefault="00DC1276" w:rsidP="00977C65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Bör även omfatta ICAO Doc 9481.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E9" w:rsidRDefault="00F033E9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5901" w:rsidRDefault="005E5901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977C65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636FD" w:rsidP="00735A19">
            <w:pPr>
              <w:pStyle w:val="Ledtext"/>
            </w:pPr>
            <w:r>
              <w:t>TS notering:</w:t>
            </w:r>
          </w:p>
        </w:tc>
      </w:tr>
      <w:tr w:rsidR="00977C65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(3) for crew members other than flight crew members:</w:t>
            </w:r>
          </w:p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(i) dealing with incidents arising from dangerous goods carried by passengers; or</w:t>
            </w:r>
          </w:p>
          <w:p w:rsidR="00977C65" w:rsidRDefault="00977C65" w:rsidP="00977C65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(ii) dealing with damaged or leaking packages in flight.</w:t>
            </w:r>
          </w:p>
          <w:p w:rsidR="00DC1276" w:rsidRPr="00977C65" w:rsidRDefault="00DC1276" w:rsidP="00977C65">
            <w:pPr>
              <w:pStyle w:val="Blankettext"/>
              <w:rPr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Bör även omfatta ICAO Doc 9481.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77C65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C65" w:rsidRDefault="00C636FD" w:rsidP="00735A19">
            <w:pPr>
              <w:pStyle w:val="Ledtext"/>
            </w:pPr>
            <w:r>
              <w:t>TS notering:</w:t>
            </w:r>
          </w:p>
        </w:tc>
      </w:tr>
      <w:tr w:rsidR="00977C65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P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(f) Training should be conducted at intervals of no longer than 2 years. If the recurrent training is</w:t>
            </w:r>
          </w:p>
          <w:p w:rsidR="00977C65" w:rsidRDefault="00977C65" w:rsidP="00977C6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77C65">
              <w:rPr>
                <w:rFonts w:ascii="Calibri" w:hAnsi="Calibri" w:cs="Calibri"/>
                <w:lang w:val="en-GB"/>
              </w:rPr>
              <w:t>undertaken within the last 3 calendar months of the validity period, the new validity period should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77C65">
              <w:rPr>
                <w:rFonts w:ascii="Calibri" w:hAnsi="Calibri" w:cs="Calibri"/>
                <w:lang w:val="en-GB"/>
              </w:rPr>
              <w:t>be counted from the original expiry date.</w:t>
            </w:r>
          </w:p>
          <w:p w:rsidR="00DC1276" w:rsidRPr="00DC1276" w:rsidRDefault="00DC1276" w:rsidP="00977C65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Bör beskriva hur man ska göra om man överskridit 24 månader.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65" w:rsidRDefault="00977C65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57F2" w:rsidRPr="009D2BFB" w:rsidTr="00735A19">
        <w:tc>
          <w:tcPr>
            <w:tcW w:w="10061" w:type="dxa"/>
            <w:gridSpan w:val="3"/>
          </w:tcPr>
          <w:p w:rsidR="004457F2" w:rsidRPr="004457F2" w:rsidRDefault="004457F2" w:rsidP="00977C65">
            <w:pPr>
              <w:pStyle w:val="Rubrik2"/>
              <w:outlineLvl w:val="1"/>
              <w:rPr>
                <w:lang w:val="en-GB"/>
              </w:rPr>
            </w:pPr>
            <w:r w:rsidRPr="004457F2">
              <w:rPr>
                <w:lang w:val="en-GB"/>
              </w:rPr>
              <w:t>AMC1 SPA.</w:t>
            </w:r>
            <w:r w:rsidR="00977C65">
              <w:rPr>
                <w:lang w:val="en-GB"/>
              </w:rPr>
              <w:t>DG</w:t>
            </w:r>
            <w:r w:rsidRPr="004457F2">
              <w:rPr>
                <w:lang w:val="en-GB"/>
              </w:rPr>
              <w:t>.105</w:t>
            </w:r>
            <w:r w:rsidR="00977C65">
              <w:rPr>
                <w:lang w:val="en-GB"/>
              </w:rPr>
              <w:t>(b)</w:t>
            </w:r>
            <w:r w:rsidRPr="004457F2">
              <w:rPr>
                <w:lang w:val="en-GB"/>
              </w:rPr>
              <w:t xml:space="preserve"> </w:t>
            </w:r>
            <w:r w:rsidR="00977C65">
              <w:rPr>
                <w:lang w:val="en-GB"/>
              </w:rPr>
              <w:t>A</w:t>
            </w:r>
            <w:r w:rsidRPr="004457F2">
              <w:rPr>
                <w:lang w:val="en-GB"/>
              </w:rPr>
              <w:t>pproval</w:t>
            </w:r>
            <w:r w:rsidR="00977C65">
              <w:rPr>
                <w:lang w:val="en-GB"/>
              </w:rPr>
              <w:t xml:space="preserve"> to transport dangerous goods</w:t>
            </w:r>
          </w:p>
        </w:tc>
      </w:tr>
      <w:tr w:rsidR="004457F2" w:rsidRPr="00977C65" w:rsidTr="00735A19">
        <w:tc>
          <w:tcPr>
            <w:tcW w:w="10061" w:type="dxa"/>
            <w:gridSpan w:val="3"/>
          </w:tcPr>
          <w:p w:rsidR="004457F2" w:rsidRPr="00977C65" w:rsidRDefault="00977C65" w:rsidP="00735A19">
            <w:pPr>
              <w:pStyle w:val="Rubrik3"/>
              <w:outlineLvl w:val="2"/>
              <w:rPr>
                <w:lang w:val="en-GB"/>
              </w:rPr>
            </w:pPr>
            <w:r w:rsidRPr="00977C65">
              <w:rPr>
                <w:lang w:val="en-GB"/>
              </w:rPr>
              <w:t>PROVISION OF INFORMATION IN THE EVENT OF AN IN-FLIGHT EMERGENCY</w:t>
            </w:r>
          </w:p>
        </w:tc>
      </w:tr>
      <w:tr w:rsidR="006F03B4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Ledtext"/>
            </w:pPr>
            <w:r>
              <w:t>TS notering:</w:t>
            </w:r>
          </w:p>
        </w:tc>
      </w:tr>
      <w:tr w:rsidR="006F03B4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Blankettext"/>
            </w:pPr>
            <w:r w:rsidRPr="00DF7552">
              <w:rPr>
                <w:rFonts w:ascii="Calibri" w:hAnsi="Calibri" w:cs="Calibri"/>
                <w:lang w:val="en-GB"/>
              </w:rPr>
              <w:t>If an in-flight emergency occurs the pilot-in-command/commander should, as soon as the situation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F7552">
              <w:rPr>
                <w:rFonts w:ascii="Calibri" w:hAnsi="Calibri" w:cs="Calibri"/>
                <w:lang w:val="en-GB"/>
              </w:rPr>
              <w:t>permits, inform the appropriate ATS unit of any dangerous goods carried as cargo on board the aircraft,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DF7552">
              <w:rPr>
                <w:rFonts w:ascii="Calibri" w:hAnsi="Calibri" w:cs="Calibri"/>
                <w:lang w:val="en-GB"/>
              </w:rPr>
              <w:t xml:space="preserve">as specified in the </w:t>
            </w:r>
            <w:r w:rsidR="00DC1276">
              <w:rPr>
                <w:rFonts w:ascii="Calibri" w:hAnsi="Calibri" w:cs="Calibri"/>
                <w:lang w:val="en-GB"/>
              </w:rPr>
              <w:t xml:space="preserve">ICAO-TI, </w:t>
            </w:r>
            <w:r w:rsidRPr="00DF7552">
              <w:rPr>
                <w:rFonts w:ascii="Calibri" w:hAnsi="Calibri" w:cs="Calibri"/>
                <w:lang w:val="en-GB"/>
              </w:rPr>
              <w:t>Technical Instructions.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B4" w:rsidRDefault="006F03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3D0A" w:rsidRPr="009D2BFB" w:rsidTr="00735A19">
        <w:tc>
          <w:tcPr>
            <w:tcW w:w="10061" w:type="dxa"/>
            <w:gridSpan w:val="3"/>
          </w:tcPr>
          <w:p w:rsidR="00AC3D0A" w:rsidRPr="005C28CA" w:rsidRDefault="00DF7552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GM1 SPA.DG.105(b)(6) Approval to transport dangerous goods</w:t>
            </w:r>
          </w:p>
        </w:tc>
      </w:tr>
      <w:tr w:rsidR="005C28CA" w:rsidTr="00735A19">
        <w:tc>
          <w:tcPr>
            <w:tcW w:w="10061" w:type="dxa"/>
            <w:gridSpan w:val="3"/>
          </w:tcPr>
          <w:p w:rsidR="005C28CA" w:rsidRDefault="00DF7552" w:rsidP="00735A19">
            <w:pPr>
              <w:pStyle w:val="Rubrik3"/>
              <w:outlineLvl w:val="2"/>
            </w:pPr>
            <w:r>
              <w:t>PERSONNEL</w:t>
            </w:r>
          </w:p>
        </w:tc>
      </w:tr>
      <w:tr w:rsidR="005C28CA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8CA" w:rsidRDefault="005C28CA" w:rsidP="00592769">
            <w:pPr>
              <w:pStyle w:val="Ledtext"/>
            </w:pPr>
          </w:p>
        </w:tc>
      </w:tr>
      <w:tr w:rsidR="005C28CA" w:rsidRPr="009D2BFB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52" w:rsidRPr="00DF7552" w:rsidRDefault="00DF7552" w:rsidP="00DF7552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DF7552">
              <w:rPr>
                <w:rFonts w:ascii="Calibri" w:hAnsi="Calibri" w:cs="Calibri"/>
                <w:lang w:val="en-GB"/>
              </w:rPr>
              <w:t>Personnel include all persons involved in the transport of dangerous goods, whether they are employees</w:t>
            </w:r>
          </w:p>
          <w:p w:rsidR="005C28CA" w:rsidRPr="00DF7552" w:rsidRDefault="00DF7552" w:rsidP="00DF7552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DF7552">
              <w:rPr>
                <w:rFonts w:ascii="Calibri" w:hAnsi="Calibri" w:cs="Calibri"/>
                <w:lang w:val="en-GB"/>
              </w:rPr>
              <w:t>of the operator or not.</w:t>
            </w:r>
          </w:p>
        </w:tc>
      </w:tr>
      <w:tr w:rsidR="009764DA" w:rsidRPr="009D2BFB" w:rsidTr="00735A19">
        <w:tc>
          <w:tcPr>
            <w:tcW w:w="10061" w:type="dxa"/>
            <w:gridSpan w:val="3"/>
          </w:tcPr>
          <w:p w:rsidR="009764DA" w:rsidRPr="009764DA" w:rsidRDefault="00DF7552" w:rsidP="00735A19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SPA.DG.110 Dangerous goods information and documentation</w:t>
            </w:r>
          </w:p>
        </w:tc>
      </w:tr>
      <w:tr w:rsidR="009F002B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592769">
            <w:pPr>
              <w:pStyle w:val="Ledtext"/>
            </w:pPr>
          </w:p>
        </w:tc>
      </w:tr>
      <w:tr w:rsidR="009F002B" w:rsidRPr="009F002B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F002B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The operator shall, in accordance with the technical instructions:</w:t>
            </w:r>
          </w:p>
        </w:tc>
      </w:tr>
      <w:tr w:rsidR="00745EBE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Pr="00A13047" w:rsidRDefault="00745EBE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C636FD" w:rsidP="00735A19">
            <w:pPr>
              <w:pStyle w:val="Ledtext"/>
            </w:pPr>
            <w:r>
              <w:t>TS notering:</w:t>
            </w:r>
          </w:p>
        </w:tc>
      </w:tr>
      <w:tr w:rsidR="00745EBE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F002B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 xml:space="preserve"> (a) provide written information to the pilot-in-command/commander:</w:t>
            </w:r>
          </w:p>
          <w:p w:rsidR="00745EBE" w:rsidRDefault="009F002B" w:rsidP="009F002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(1) about dangerous goods to be carried on the aircraft;</w:t>
            </w:r>
          </w:p>
          <w:p w:rsidR="00DC1276" w:rsidRPr="00DC1276" w:rsidRDefault="00DC1276" w:rsidP="009F002B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Benämns som NOTOC.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5EBE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745EBE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EBE" w:rsidRDefault="00C636FD" w:rsidP="00735A19">
            <w:pPr>
              <w:pStyle w:val="Ledtext"/>
            </w:pPr>
            <w:r>
              <w:t>TS notering:</w:t>
            </w:r>
          </w:p>
        </w:tc>
      </w:tr>
      <w:tr w:rsidR="00745EBE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E" w:rsidRDefault="009F002B" w:rsidP="001045CA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(2) for use in responding to in-flight emergencies;</w:t>
            </w:r>
          </w:p>
          <w:p w:rsidR="00DC1276" w:rsidRPr="00DC1276" w:rsidRDefault="00DC1276" w:rsidP="001045CA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Notera ICAO Doc 9481.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BE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45EBE">
              <w:instrText xml:space="preserve"> FORMTEXT </w:instrText>
            </w:r>
            <w:r>
              <w:fldChar w:fldCharType="separate"/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 w:rsidR="00745EB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F002B">
              <w:rPr>
                <w:rFonts w:ascii="Calibri" w:hAnsi="Calibri" w:cs="Calibri"/>
                <w:lang w:val="en-GB"/>
              </w:rPr>
              <w:t>(b) use an acceptance checklist;</w:t>
            </w:r>
          </w:p>
          <w:p w:rsidR="00DC1276" w:rsidRPr="00DC1276" w:rsidRDefault="00DC1276" w:rsidP="005E5901">
            <w:pPr>
              <w:pStyle w:val="Blankettext"/>
              <w:spacing w:line="240" w:lineRule="auto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Notera: Acceptan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ce-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checklistan är skräddarsydd för en operat</w:t>
            </w:r>
            <w:r w:rsidR="005E5901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ö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r men oftast används IATA som bas.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5E7A" w:rsidRDefault="00535E7A">
      <w: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276" w:rsidRDefault="00AD3C75" w:rsidP="006F03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AD3C75">
              <w:rPr>
                <w:rFonts w:ascii="Calibri" w:hAnsi="Calibri" w:cs="Calibri"/>
                <w:lang w:val="en-GB"/>
              </w:rPr>
              <w:t>(c) ensure that dangerous goods are accompanied by the required dangerous goods transport</w:t>
            </w:r>
            <w:r w:rsidR="00905BB4">
              <w:rPr>
                <w:rFonts w:ascii="Calibri" w:hAnsi="Calibri" w:cs="Calibri"/>
                <w:lang w:val="en-GB"/>
              </w:rPr>
              <w:t xml:space="preserve"> </w:t>
            </w:r>
            <w:r w:rsidR="006F03B4">
              <w:rPr>
                <w:rFonts w:ascii="Calibri" w:hAnsi="Calibri" w:cs="Calibri"/>
                <w:lang w:val="en-GB"/>
              </w:rPr>
              <w:t>d</w:t>
            </w:r>
            <w:r w:rsidRPr="00AD3C75">
              <w:rPr>
                <w:rFonts w:ascii="Calibri" w:hAnsi="Calibri" w:cs="Calibri"/>
                <w:lang w:val="en-GB"/>
              </w:rPr>
              <w:t>ocument(s), as completed by the person offering dangerous goods for air transport, except when</w:t>
            </w:r>
            <w:r w:rsidR="00905BB4">
              <w:rPr>
                <w:rFonts w:ascii="Calibri" w:hAnsi="Calibri" w:cs="Calibri"/>
                <w:lang w:val="en-GB"/>
              </w:rPr>
              <w:t xml:space="preserve"> </w:t>
            </w:r>
            <w:r w:rsidRPr="00AD3C75">
              <w:rPr>
                <w:rFonts w:ascii="Calibri" w:hAnsi="Calibri" w:cs="Calibri"/>
                <w:lang w:val="en-GB"/>
              </w:rPr>
              <w:t>the information applicable to the dangerous goods is provided in electronic form;</w:t>
            </w:r>
          </w:p>
          <w:p w:rsidR="00DC1276" w:rsidRPr="00DC1276" w:rsidRDefault="00DC1276" w:rsidP="006F03B4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Kan vara aktuellt med DGR-sändningar I transit.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Pr="00905BB4" w:rsidRDefault="00905BB4" w:rsidP="00905BB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(d) ensure that where a dangerous goods transport document is provided in written form, a copy of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the document is retained on the ground where it will be possible to obtain access to it within a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reasonable period until the goods have reached their final destination;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05BB4" w:rsidP="00905B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(e) ensure that a copy of the information to the pilot-in-command/commander is retained on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ground and that this copy, or the information contained in it, is readily accessible to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aerodromes of last departure and next scheduled arrival, until after the flight to which the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905BB4">
              <w:rPr>
                <w:rFonts w:ascii="Calibri" w:hAnsi="Calibri" w:cs="Calibri"/>
                <w:lang w:val="en-GB"/>
              </w:rPr>
              <w:t>information refers;</w:t>
            </w:r>
          </w:p>
          <w:p w:rsidR="00DC1276" w:rsidRPr="00DC1276" w:rsidRDefault="00DC1276" w:rsidP="00905BB4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Oftast som ett delelement av annan last-dokumentation.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002B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2B" w:rsidRDefault="00C636FD" w:rsidP="00735A19">
            <w:pPr>
              <w:pStyle w:val="Ledtext"/>
            </w:pPr>
            <w:r>
              <w:t>TS notering:</w:t>
            </w:r>
          </w:p>
        </w:tc>
      </w:tr>
      <w:tr w:rsidR="009F002B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Pr="00905BB4" w:rsidRDefault="00905BB4" w:rsidP="00905BB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(f) retain the acceptance checklist, transport document and information to the pilot-incommand/</w:t>
            </w:r>
          </w:p>
          <w:p w:rsidR="009F002B" w:rsidRPr="00905BB4" w:rsidRDefault="00905BB4" w:rsidP="00905BB4">
            <w:pPr>
              <w:pStyle w:val="Blankettext"/>
              <w:rPr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commander for at least three months after completion of the flight;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2B" w:rsidRDefault="009F002B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5BB4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BB4" w:rsidRDefault="00C636FD" w:rsidP="00735A19">
            <w:pPr>
              <w:pStyle w:val="Ledtext"/>
            </w:pPr>
            <w:r>
              <w:t>TS notering:</w:t>
            </w:r>
          </w:p>
        </w:tc>
      </w:tr>
      <w:tr w:rsidR="00905BB4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05BB4">
              <w:rPr>
                <w:rFonts w:ascii="Calibri" w:hAnsi="Calibri" w:cs="Calibri"/>
                <w:lang w:val="en-GB"/>
              </w:rPr>
              <w:t>(g) retain the training records of all personnel for at least three years.</w:t>
            </w:r>
          </w:p>
          <w:p w:rsidR="00DC1276" w:rsidRPr="00DC1276" w:rsidRDefault="00DC1276" w:rsidP="00735A19">
            <w:pPr>
              <w:pStyle w:val="Blankettext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För kontrakterad personal ska krav ställas via avtal.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B4" w:rsidRDefault="00905BB4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5CA" w:rsidRPr="009D2BFB" w:rsidTr="00735A19">
        <w:tc>
          <w:tcPr>
            <w:tcW w:w="10061" w:type="dxa"/>
            <w:gridSpan w:val="3"/>
          </w:tcPr>
          <w:p w:rsidR="001045CA" w:rsidRPr="001045CA" w:rsidRDefault="00905BB4" w:rsidP="00905BB4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t>AMC1</w:t>
            </w:r>
            <w:r w:rsidR="001045CA" w:rsidRPr="001045CA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DG</w:t>
            </w:r>
            <w:r w:rsidR="001045CA" w:rsidRPr="001045CA">
              <w:rPr>
                <w:lang w:val="en-GB"/>
              </w:rPr>
              <w:t>.1</w:t>
            </w:r>
            <w:r>
              <w:rPr>
                <w:lang w:val="en-GB"/>
              </w:rPr>
              <w:t>10(a)</w:t>
            </w:r>
            <w:r w:rsidR="001045CA" w:rsidRPr="001045CA">
              <w:rPr>
                <w:lang w:val="en-GB"/>
              </w:rPr>
              <w:t xml:space="preserve"> </w:t>
            </w:r>
            <w:r>
              <w:rPr>
                <w:lang w:val="en-GB"/>
              </w:rPr>
              <w:t>Dangerous goods information och documentation</w:t>
            </w:r>
          </w:p>
        </w:tc>
      </w:tr>
      <w:tr w:rsidR="001045CA" w:rsidRPr="009D2BFB" w:rsidTr="00735A19">
        <w:tc>
          <w:tcPr>
            <w:tcW w:w="10061" w:type="dxa"/>
            <w:gridSpan w:val="3"/>
          </w:tcPr>
          <w:p w:rsidR="001045CA" w:rsidRPr="001045CA" w:rsidRDefault="00905BB4" w:rsidP="00735A19">
            <w:pPr>
              <w:pStyle w:val="Rubrik3"/>
              <w:outlineLvl w:val="2"/>
              <w:rPr>
                <w:lang w:val="en-GB"/>
              </w:rPr>
            </w:pPr>
            <w:r>
              <w:rPr>
                <w:lang w:val="en-GB"/>
              </w:rPr>
              <w:t>INFORMATION TO THE PILOT-IN-COMMAND/COMMANDER</w:t>
            </w:r>
          </w:p>
        </w:tc>
      </w:tr>
      <w:tr w:rsidR="001045CA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A" w:rsidRPr="00A13047" w:rsidRDefault="001045CA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45CA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5CA" w:rsidRDefault="00C636FD" w:rsidP="00735A19">
            <w:pPr>
              <w:pStyle w:val="Ledtext"/>
            </w:pPr>
            <w:r>
              <w:t>TS notering:</w:t>
            </w:r>
          </w:p>
        </w:tc>
      </w:tr>
      <w:tr w:rsidR="001045CA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1" w:rsidRPr="00746C11" w:rsidRDefault="00746C11" w:rsidP="00746C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If the volume of information provided to the pilot-in-command/commander by the operator is such that</w:t>
            </w:r>
          </w:p>
          <w:p w:rsidR="00746C11" w:rsidRPr="00746C11" w:rsidRDefault="00746C11" w:rsidP="00746C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it would be impracticable to transmit it in the event of an in-flight emergency, an additional summary of</w:t>
            </w:r>
          </w:p>
          <w:p w:rsidR="00746C11" w:rsidRPr="00746C11" w:rsidRDefault="00746C11" w:rsidP="00746C1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the information should also be provided, containing at least the quantities and class or division of the</w:t>
            </w:r>
          </w:p>
          <w:p w:rsidR="001045CA" w:rsidRPr="00746C11" w:rsidRDefault="00746C11" w:rsidP="00746C11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dangerous goods in each cargo compartment.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5CA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5CA">
              <w:instrText xml:space="preserve"> FORMTEXT </w:instrText>
            </w:r>
            <w:r>
              <w:fldChar w:fldCharType="separate"/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5CA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045CA">
              <w:instrText xml:space="preserve"> FORMTEXT </w:instrText>
            </w:r>
            <w:r>
              <w:fldChar w:fldCharType="separate"/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 w:rsidR="001045C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35E7A" w:rsidRDefault="00535E7A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2516"/>
        <w:gridCol w:w="2516"/>
      </w:tblGrid>
      <w:tr w:rsidR="00A14C94" w:rsidRPr="009D2BFB" w:rsidTr="00735A19">
        <w:tc>
          <w:tcPr>
            <w:tcW w:w="10061" w:type="dxa"/>
            <w:gridSpan w:val="3"/>
          </w:tcPr>
          <w:p w:rsidR="00A14C94" w:rsidRPr="00A14C94" w:rsidRDefault="00746C11" w:rsidP="00746C11">
            <w:pPr>
              <w:pStyle w:val="Rubrik2"/>
              <w:outlineLvl w:val="1"/>
              <w:rPr>
                <w:lang w:val="en-GB"/>
              </w:rPr>
            </w:pPr>
            <w:r>
              <w:rPr>
                <w:lang w:val="en-GB"/>
              </w:rPr>
              <w:lastRenderedPageBreak/>
              <w:t>AMC1</w:t>
            </w:r>
            <w:r w:rsidR="00A14C94" w:rsidRPr="00A14C94">
              <w:rPr>
                <w:lang w:val="en-GB"/>
              </w:rPr>
              <w:t xml:space="preserve"> SPA.</w:t>
            </w:r>
            <w:r>
              <w:rPr>
                <w:lang w:val="en-GB"/>
              </w:rPr>
              <w:t>DG.110(b)</w:t>
            </w:r>
            <w:r w:rsidR="00A14C94" w:rsidRPr="00A14C94">
              <w:rPr>
                <w:lang w:val="en-GB"/>
              </w:rPr>
              <w:t xml:space="preserve"> </w:t>
            </w:r>
            <w:r>
              <w:rPr>
                <w:lang w:val="en-GB"/>
              </w:rPr>
              <w:t>Dangerous goods information and documentation</w:t>
            </w:r>
          </w:p>
        </w:tc>
      </w:tr>
      <w:tr w:rsidR="00A14C94" w:rsidTr="00735A19">
        <w:tc>
          <w:tcPr>
            <w:tcW w:w="10061" w:type="dxa"/>
            <w:gridSpan w:val="3"/>
          </w:tcPr>
          <w:p w:rsidR="00A14C94" w:rsidRDefault="00746C11" w:rsidP="00735A19">
            <w:pPr>
              <w:pStyle w:val="Rubrik3"/>
              <w:outlineLvl w:val="2"/>
            </w:pPr>
            <w:r>
              <w:t>ACCEPTANCE OF DANGEROUS GOODS</w:t>
            </w:r>
          </w:p>
        </w:tc>
      </w:tr>
      <w:tr w:rsidR="00746C11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C11" w:rsidRDefault="00746C11" w:rsidP="00592769">
            <w:pPr>
              <w:pStyle w:val="Ledtext"/>
            </w:pPr>
          </w:p>
        </w:tc>
      </w:tr>
      <w:tr w:rsidR="00746C11" w:rsidRPr="00746C11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C11" w:rsidRPr="00746C11" w:rsidRDefault="00746C11" w:rsidP="00735A19">
            <w:pPr>
              <w:pStyle w:val="Blankettext"/>
              <w:rPr>
                <w:lang w:val="en-GB"/>
              </w:rPr>
            </w:pPr>
            <w:r w:rsidRPr="00746C11">
              <w:rPr>
                <w:rFonts w:ascii="Calibri" w:hAnsi="Calibri" w:cs="Calibri"/>
                <w:lang w:val="en-GB"/>
              </w:rPr>
              <w:t>(a) The operator should not accept dangerous goods unless:</w:t>
            </w:r>
          </w:p>
        </w:tc>
      </w:tr>
      <w:tr w:rsidR="00A14C94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4" w:rsidRPr="00746C11" w:rsidRDefault="00A14C94" w:rsidP="00735A19">
            <w:pPr>
              <w:pStyle w:val="Ledtext"/>
              <w:rPr>
                <w:lang w:val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4C94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C94" w:rsidRDefault="00C636FD" w:rsidP="00735A19">
            <w:pPr>
              <w:pStyle w:val="Ledtext"/>
            </w:pPr>
            <w:r>
              <w:t>TS notering:</w:t>
            </w:r>
          </w:p>
        </w:tc>
      </w:tr>
      <w:tr w:rsidR="00A14C94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(1) the package, overpack or freight container has been inspected in accordance with the</w:t>
            </w:r>
          </w:p>
          <w:p w:rsidR="00A14C94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acceptance procedures in the Technical Instructions;</w:t>
            </w:r>
          </w:p>
          <w:p w:rsidR="00DC1276" w:rsidRPr="00DC1276" w:rsidRDefault="00DC1276" w:rsidP="00F74A0C">
            <w:pPr>
              <w:autoSpaceDE w:val="0"/>
              <w:autoSpaceDN w:val="0"/>
              <w:adjustRightInd w:val="0"/>
              <w:rPr>
                <w:i/>
                <w:sz w:val="18"/>
                <w:szCs w:val="18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 xml:space="preserve">Genom att ställa krav via avtal om bruk av operatörens checklista </w:t>
            </w:r>
            <w:r w:rsidR="00677A1A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lö</w:t>
            </w: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ses detta.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C94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94">
              <w:instrText xml:space="preserve"> FORMTEXT </w:instrText>
            </w:r>
            <w:r>
              <w:fldChar w:fldCharType="separate"/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94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4C94">
              <w:instrText xml:space="preserve"> FORMTEXT </w:instrText>
            </w:r>
            <w:r>
              <w:fldChar w:fldCharType="separate"/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 w:rsidR="00A14C9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01828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28" w:rsidRDefault="00601828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1828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828" w:rsidRDefault="00C636FD" w:rsidP="00735A19">
            <w:pPr>
              <w:pStyle w:val="Ledtext"/>
            </w:pPr>
            <w:r>
              <w:t>TS notering:</w:t>
            </w:r>
          </w:p>
        </w:tc>
      </w:tr>
      <w:tr w:rsidR="00601828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(2) they are accompanied by two copies of a dangerous goods transport document or the</w:t>
            </w:r>
          </w:p>
          <w:p w:rsidR="00601828" w:rsidRPr="00F74A0C" w:rsidRDefault="00F74A0C" w:rsidP="00F74A0C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information applicable to the consignment is provided in electronic form, except when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F74A0C">
              <w:rPr>
                <w:rFonts w:ascii="Calibri" w:hAnsi="Calibri" w:cs="Calibri"/>
                <w:lang w:val="en-GB"/>
              </w:rPr>
              <w:t>otherwise specified in the Technical Instructions; and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828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828">
              <w:instrText xml:space="preserve"> FORMTEXT </w:instrText>
            </w:r>
            <w:r>
              <w:fldChar w:fldCharType="separate"/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28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1828">
              <w:instrText xml:space="preserve"> FORMTEXT </w:instrText>
            </w:r>
            <w:r>
              <w:fldChar w:fldCharType="separate"/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 w:rsidR="00601828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390F" w:rsidTr="00540DB2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0F" w:rsidRDefault="0023390F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90F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90F" w:rsidRDefault="00C636FD" w:rsidP="00735A19">
            <w:pPr>
              <w:pStyle w:val="Ledtext"/>
            </w:pPr>
            <w:r>
              <w:t>TS notering:</w:t>
            </w:r>
          </w:p>
        </w:tc>
      </w:tr>
      <w:tr w:rsidR="0023390F" w:rsidRPr="00735A19" w:rsidTr="00540DB2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(3) the English language is used for:</w:t>
            </w:r>
          </w:p>
          <w:p w:rsidR="00F74A0C" w:rsidRPr="00F74A0C" w:rsidRDefault="00F74A0C" w:rsidP="00F74A0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(i) package marking and labelling; and</w:t>
            </w:r>
          </w:p>
          <w:p w:rsidR="0023390F" w:rsidRPr="00F74A0C" w:rsidRDefault="00F74A0C" w:rsidP="006F03B4">
            <w:pPr>
              <w:autoSpaceDE w:val="0"/>
              <w:autoSpaceDN w:val="0"/>
              <w:adjustRightInd w:val="0"/>
              <w:rPr>
                <w:sz w:val="20"/>
                <w:szCs w:val="20"/>
                <w:lang w:val="en-GB"/>
              </w:rPr>
            </w:pPr>
            <w:r w:rsidRPr="00F74A0C">
              <w:rPr>
                <w:rFonts w:ascii="Calibri" w:hAnsi="Calibri" w:cs="Calibri"/>
                <w:lang w:val="en-GB"/>
              </w:rPr>
              <w:t>(ii) the dangerous goods transport document,</w:t>
            </w:r>
            <w:r w:rsidR="006F03B4">
              <w:rPr>
                <w:rFonts w:ascii="Calibri" w:hAnsi="Calibri" w:cs="Calibri"/>
                <w:lang w:val="en-GB"/>
              </w:rPr>
              <w:t xml:space="preserve"> </w:t>
            </w:r>
            <w:r w:rsidRPr="00F74A0C">
              <w:rPr>
                <w:rFonts w:ascii="Calibri" w:hAnsi="Calibri" w:cs="Calibri"/>
                <w:lang w:val="en-GB"/>
              </w:rPr>
              <w:t>in addition to any other language provision.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90F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390F">
              <w:instrText xml:space="preserve"> FORMTEXT </w:instrText>
            </w:r>
            <w:r>
              <w:fldChar w:fldCharType="separate"/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0F" w:rsidRDefault="00342EEF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390F">
              <w:instrText xml:space="preserve"> FORMTEXT </w:instrText>
            </w:r>
            <w:r>
              <w:fldChar w:fldCharType="separate"/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 w:rsidR="0023390F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430" w:rsidTr="00592769">
        <w:tc>
          <w:tcPr>
            <w:tcW w:w="100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211430" w:rsidP="00592769">
            <w:pPr>
              <w:pStyle w:val="Ledtext"/>
            </w:pPr>
          </w:p>
        </w:tc>
      </w:tr>
      <w:tr w:rsidR="00211430" w:rsidRPr="00211430" w:rsidTr="00592769">
        <w:tc>
          <w:tcPr>
            <w:tcW w:w="100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Pr="00211430" w:rsidRDefault="00211430" w:rsidP="00735A19">
            <w:pPr>
              <w:pStyle w:val="Blankettext"/>
              <w:rPr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>(b) The operator or his/her handling agent should use an acceptance checklist which allows for:</w:t>
            </w:r>
          </w:p>
        </w:tc>
      </w:tr>
      <w:tr w:rsidR="0021143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636FD" w:rsidP="00735A19">
            <w:pPr>
              <w:pStyle w:val="Ledtext"/>
            </w:pPr>
            <w:r>
              <w:t>TS notering:</w:t>
            </w:r>
          </w:p>
        </w:tc>
      </w:tr>
      <w:tr w:rsidR="0021143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>(1) all relevant details to be checked; and</w:t>
            </w:r>
          </w:p>
          <w:p w:rsidR="00677A1A" w:rsidRPr="00211430" w:rsidRDefault="00677A1A" w:rsidP="00677A1A">
            <w:pPr>
              <w:pStyle w:val="Blankettext"/>
              <w:spacing w:line="240" w:lineRule="auto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Genom att ställa krav via avtal om bruk av operatörens checklista löses detta.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1430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46D67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430" w:rsidRDefault="00C636FD" w:rsidP="00735A19">
            <w:pPr>
              <w:pStyle w:val="Ledtext"/>
            </w:pPr>
            <w:r>
              <w:t>TS notering:</w:t>
            </w:r>
          </w:p>
        </w:tc>
      </w:tr>
      <w:tr w:rsidR="00211430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Pr="00211430" w:rsidRDefault="00211430" w:rsidP="006F03B4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11430">
              <w:rPr>
                <w:rFonts w:ascii="Calibri" w:hAnsi="Calibri" w:cs="Calibri"/>
                <w:lang w:val="en-GB"/>
              </w:rPr>
              <w:t xml:space="preserve"> (2) the recording of the results of the acceptance check by manual, mechanical or</w:t>
            </w:r>
            <w:r w:rsidR="006F03B4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</w:rPr>
              <w:t>computerised means.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430" w:rsidRDefault="00211430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7C4E" w:rsidTr="00735A19">
        <w:tc>
          <w:tcPr>
            <w:tcW w:w="10061" w:type="dxa"/>
            <w:gridSpan w:val="3"/>
          </w:tcPr>
          <w:p w:rsidR="009A7C4E" w:rsidRDefault="009A7C4E" w:rsidP="00735A19">
            <w:pPr>
              <w:pStyle w:val="Rubrik2"/>
              <w:outlineLvl w:val="1"/>
            </w:pPr>
            <w:r>
              <w:t>MSBFS 2015:9</w:t>
            </w:r>
            <w:r>
              <w:rPr>
                <w:rStyle w:val="Fotnotsreferens"/>
              </w:rPr>
              <w:footnoteReference w:id="1"/>
            </w:r>
          </w:p>
        </w:tc>
      </w:tr>
      <w:tr w:rsidR="00535E7A" w:rsidTr="00735A19">
        <w:tc>
          <w:tcPr>
            <w:tcW w:w="10061" w:type="dxa"/>
            <w:gridSpan w:val="3"/>
          </w:tcPr>
          <w:p w:rsidR="00535E7A" w:rsidRDefault="00535E7A" w:rsidP="00735A19">
            <w:pPr>
              <w:pStyle w:val="Rubrik3"/>
              <w:outlineLvl w:val="2"/>
            </w:pPr>
            <w:r>
              <w:t>Säkerhetsrådgivare</w:t>
            </w:r>
          </w:p>
        </w:tc>
      </w:tr>
      <w:tr w:rsidR="009A7C4E" w:rsidTr="00592769">
        <w:tc>
          <w:tcPr>
            <w:tcW w:w="5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  <w:r>
              <w:t>Detaljerade referenser: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Ledtext"/>
            </w:pPr>
            <w:r>
              <w:t>TS notering:</w:t>
            </w:r>
          </w:p>
        </w:tc>
      </w:tr>
      <w:tr w:rsidR="009A7C4E" w:rsidRPr="00735A19" w:rsidTr="00592769">
        <w:tc>
          <w:tcPr>
            <w:tcW w:w="5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 w:rsidRPr="009A7C4E">
              <w:rPr>
                <w:rFonts w:ascii="Calibri" w:hAnsi="Calibri" w:cs="Calibri"/>
                <w:lang w:val="en-GB"/>
              </w:rPr>
              <w:t>1§ Den vars verksamhet omfattar transporter av farligt gods ska, enligt 11§ lagen (2006:263) om transport av farligt gods, utse en eller flera säkerhetsrådgivare. Detsamma gäller den som till någon annan lämnar farligt gods för transport.</w:t>
            </w:r>
          </w:p>
          <w:p w:rsidR="009A7C4E" w:rsidRDefault="009A7C4E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Säkerhetsrådgivaren ska under verksamhets</w:t>
            </w:r>
            <w:r w:rsidR="006E06DF">
              <w:rPr>
                <w:rFonts w:ascii="Calibri" w:hAnsi="Calibri" w:cs="Calibri"/>
                <w:lang w:val="en-GB"/>
              </w:rPr>
              <w:t>-</w:t>
            </w:r>
            <w:r>
              <w:rPr>
                <w:rFonts w:ascii="Calibri" w:hAnsi="Calibri" w:cs="Calibri"/>
                <w:lang w:val="en-GB"/>
              </w:rPr>
              <w:t>ledningens ansvar verka för att skador i samband med transporterna förebyggs.</w:t>
            </w:r>
          </w:p>
          <w:p w:rsidR="009A7C4E" w:rsidRDefault="009A7C4E" w:rsidP="00735A19">
            <w:pPr>
              <w:pStyle w:val="Blankettext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I denna författning finns ytterligare bestämmelser om säkerhetsrådgivare och om undantag från kravet på att ha en säkerhetsrådgivare.</w:t>
            </w:r>
          </w:p>
          <w:p w:rsidR="009A7C4E" w:rsidRPr="009A7C4E" w:rsidRDefault="009A7C4E" w:rsidP="009A7C4E">
            <w:pPr>
              <w:pStyle w:val="Blankettext"/>
              <w:spacing w:line="240" w:lineRule="auto"/>
              <w:rPr>
                <w:rFonts w:ascii="Calibri" w:hAnsi="Calibri" w:cs="Calibri"/>
                <w:lang w:val="en-GB"/>
              </w:rPr>
            </w:pPr>
            <w:r w:rsidRPr="009A7C4E">
              <w:rPr>
                <w:rFonts w:ascii="Calibri" w:hAnsi="Calibri" w:cs="Calibri"/>
                <w:i/>
                <w:sz w:val="18"/>
                <w:szCs w:val="18"/>
                <w:lang w:val="en-GB"/>
              </w:rPr>
              <w:t>För de verksamheter som omfattas av krav på säkerhetsrådgivare ska relevanta delar av denna förordning efterföljas.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4E" w:rsidRDefault="009A7C4E" w:rsidP="00735A19">
            <w:pPr>
              <w:pStyle w:val="Blanke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A7C4E" w:rsidRPr="009A7C4E" w:rsidRDefault="009A7C4E" w:rsidP="006E06DF">
      <w:pPr>
        <w:pStyle w:val="Brdtext"/>
        <w:rPr>
          <w:lang w:val="en-GB"/>
        </w:rPr>
      </w:pPr>
    </w:p>
    <w:sectPr w:rsidR="009A7C4E" w:rsidRPr="009A7C4E" w:rsidSect="006E06DF">
      <w:headerReference w:type="default" r:id="rId8"/>
      <w:headerReference w:type="first" r:id="rId9"/>
      <w:footerReference w:type="first" r:id="rId10"/>
      <w:pgSz w:w="11906" w:h="16838"/>
      <w:pgMar w:top="1701" w:right="794" w:bottom="851" w:left="119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6D6" w:rsidRDefault="00E756D6" w:rsidP="00F12B44">
      <w:r>
        <w:separator/>
      </w:r>
    </w:p>
  </w:endnote>
  <w:endnote w:type="continuationSeparator" w:id="0">
    <w:p w:rsidR="00E756D6" w:rsidRDefault="00E756D6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D6" w:rsidRPr="006B64DA" w:rsidRDefault="00E756D6" w:rsidP="00A03C05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bookmarkStart w:id="8" w:name="insFirstFooter_01"/>
    <w:r>
      <w:rPr>
        <w:rFonts w:ascii="Arial" w:eastAsia="Calibri" w:hAnsi="Arial" w:cs="Times New Roman"/>
        <w:sz w:val="2"/>
        <w:szCs w:val="2"/>
      </w:rPr>
      <w:t xml:space="preserve"> </w:t>
    </w:r>
    <w:bookmarkEnd w:id="8"/>
    <w:r w:rsidRPr="006B64DA">
      <w:rPr>
        <w:rFonts w:ascii="Arial" w:eastAsia="Calibri" w:hAnsi="Arial" w:cs="Times New Roman"/>
        <w:sz w:val="2"/>
        <w:szCs w:val="2"/>
      </w:rPr>
      <w:t xml:space="preserve"> </w:t>
    </w:r>
  </w:p>
  <w:tbl>
    <w:tblPr>
      <w:tblW w:w="1026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407"/>
    </w:tblGrid>
    <w:tr w:rsidR="00E756D6" w:rsidRPr="00387997" w:rsidTr="0013375B">
      <w:trPr>
        <w:cantSplit/>
        <w:trHeight w:val="261"/>
      </w:trPr>
      <w:tc>
        <w:tcPr>
          <w:tcW w:w="10261" w:type="dxa"/>
          <w:gridSpan w:val="4"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9" w:name="objFooterBorder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9"/>
        </w:p>
      </w:tc>
    </w:tr>
    <w:tr w:rsidR="00E756D6" w:rsidRPr="00387997" w:rsidTr="0013375B">
      <w:tc>
        <w:tcPr>
          <w:tcW w:w="3178" w:type="dxa"/>
          <w:vMerge w:val="restart"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0" w:name="ftiCompanyName_01"/>
          <w:r>
            <w:rPr>
              <w:rFonts w:ascii="Arial" w:eastAsia="Calibri" w:hAnsi="Arial" w:cs="Times New Roman"/>
              <w:b/>
              <w:sz w:val="16"/>
            </w:rPr>
            <w:t xml:space="preserve"> </w:t>
          </w:r>
          <w:bookmarkEnd w:id="10"/>
          <w:r w:rsidRPr="00387997">
            <w:rPr>
              <w:rFonts w:ascii="Arial" w:eastAsia="Calibri" w:hAnsi="Arial" w:cs="Times New Roman"/>
              <w:b/>
              <w:sz w:val="16"/>
            </w:rPr>
            <w:t xml:space="preserve"> </w:t>
          </w:r>
          <w:r w:rsidRPr="00387997">
            <w:rPr>
              <w:rFonts w:ascii="Arial" w:eastAsia="Calibri" w:hAnsi="Arial" w:cs="Times New Roman"/>
              <w:sz w:val="16"/>
            </w:rPr>
            <w:t xml:space="preserve">  </w:t>
          </w:r>
          <w:bookmarkStart w:id="11" w:name="chkOrganization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1"/>
          <w:r w:rsidRPr="00387997">
            <w:rPr>
              <w:rFonts w:ascii="Arial" w:eastAsia="Calibri" w:hAnsi="Arial" w:cs="Times New Roman"/>
              <w:sz w:val="16"/>
            </w:rPr>
            <w:br/>
          </w:r>
          <w:bookmarkStart w:id="12" w:name="ftiPostalAddress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2"/>
        </w:p>
        <w:p w:rsidR="00E756D6" w:rsidRPr="00387997" w:rsidRDefault="00E756D6" w:rsidP="00A03C05">
          <w:pPr>
            <w:spacing w:before="40" w:after="20"/>
            <w:rPr>
              <w:rFonts w:ascii="Arial" w:eastAsia="Calibri" w:hAnsi="Arial" w:cs="Times New Roman"/>
              <w:sz w:val="14"/>
              <w:szCs w:val="14"/>
            </w:rPr>
          </w:pPr>
          <w:bookmarkStart w:id="13" w:name="ftcVisitingAddress_01"/>
          <w:r>
            <w:rPr>
              <w:rFonts w:ascii="Arial" w:eastAsia="Calibri" w:hAnsi="Arial" w:cs="Times New Roman"/>
              <w:sz w:val="14"/>
            </w:rPr>
            <w:t xml:space="preserve"> </w:t>
          </w:r>
          <w:bookmarkEnd w:id="13"/>
        </w:p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14" w:name="ftiVisitingAddress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4"/>
        </w:p>
      </w:tc>
      <w:tc>
        <w:tcPr>
          <w:tcW w:w="3808" w:type="dxa"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5" w:name="ftiWeb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5"/>
        </w:p>
      </w:tc>
      <w:tc>
        <w:tcPr>
          <w:tcW w:w="868" w:type="dxa"/>
          <w:shd w:val="clear" w:color="auto" w:fill="auto"/>
        </w:tcPr>
        <w:p w:rsidR="00E756D6" w:rsidRPr="000958CF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  <w:bookmarkStart w:id="16" w:name="ftcCPPhone_01"/>
          <w:r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  <w:bookmarkEnd w:id="16"/>
          <w:r w:rsidRPr="000958CF"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E756D6" w:rsidRPr="00357284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7" w:name="ftiCPPhone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7"/>
        </w:p>
      </w:tc>
    </w:tr>
    <w:tr w:rsidR="00E756D6" w:rsidRPr="00387997" w:rsidTr="00A03C05">
      <w:tc>
        <w:tcPr>
          <w:tcW w:w="3178" w:type="dxa"/>
          <w:vMerge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18" w:name="ftiCPEmail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18"/>
        </w:p>
      </w:tc>
      <w:tc>
        <w:tcPr>
          <w:tcW w:w="868" w:type="dxa"/>
          <w:shd w:val="clear" w:color="auto" w:fill="auto"/>
        </w:tcPr>
        <w:p w:rsidR="00E756D6" w:rsidRPr="000958CF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  <w:bookmarkStart w:id="19" w:name="ftcCPFax_01"/>
          <w:r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  <w:bookmarkEnd w:id="19"/>
          <w:r w:rsidRPr="000958CF">
            <w:rPr>
              <w:rFonts w:ascii="Arial" w:eastAsia="Calibri" w:hAnsi="Arial" w:cs="Times New Roman"/>
              <w:sz w:val="14"/>
              <w:szCs w:val="14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E756D6" w:rsidRPr="00357284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0" w:name="ftiCPFax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20"/>
        </w:p>
      </w:tc>
    </w:tr>
    <w:tr w:rsidR="00E756D6" w:rsidRPr="00387997" w:rsidTr="00A03C05">
      <w:trPr>
        <w:trHeight w:val="867"/>
      </w:trPr>
      <w:tc>
        <w:tcPr>
          <w:tcW w:w="3178" w:type="dxa"/>
          <w:vMerge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E756D6" w:rsidRPr="00387997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868" w:type="dxa"/>
          <w:shd w:val="clear" w:color="auto" w:fill="auto"/>
        </w:tcPr>
        <w:p w:rsidR="00E756D6" w:rsidRPr="000958CF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4"/>
              <w:szCs w:val="14"/>
            </w:rPr>
          </w:pPr>
        </w:p>
      </w:tc>
      <w:tc>
        <w:tcPr>
          <w:tcW w:w="2407" w:type="dxa"/>
          <w:shd w:val="clear" w:color="auto" w:fill="auto"/>
        </w:tcPr>
        <w:p w:rsidR="00E756D6" w:rsidRPr="00357284" w:rsidRDefault="00E756D6" w:rsidP="00A03C05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</w:tbl>
  <w:p w:rsidR="00E756D6" w:rsidRPr="004A73BF" w:rsidRDefault="00E756D6" w:rsidP="00A03C05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</w:p>
  <w:p w:rsidR="00E756D6" w:rsidRPr="0013375B" w:rsidRDefault="00E756D6" w:rsidP="0013375B">
    <w:pPr>
      <w:pStyle w:val="Sidfot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6D6" w:rsidRDefault="00E756D6" w:rsidP="00F12B44">
      <w:r>
        <w:separator/>
      </w:r>
    </w:p>
  </w:footnote>
  <w:footnote w:type="continuationSeparator" w:id="0">
    <w:p w:rsidR="00E756D6" w:rsidRDefault="00E756D6" w:rsidP="00F12B44">
      <w:r>
        <w:continuationSeparator/>
      </w:r>
    </w:p>
  </w:footnote>
  <w:footnote w:id="1">
    <w:p w:rsidR="00E756D6" w:rsidRDefault="00E756D6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6E06DF">
        <w:rPr>
          <w:sz w:val="16"/>
          <w:szCs w:val="16"/>
        </w:rPr>
        <w:t>MSBFS 2015:9, Myndigheten för samhällsskydd och beredskaps föreskrifter om säkerhetsrådgivare för transport av farligt gods.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678"/>
      <w:gridCol w:w="924"/>
    </w:tblGrid>
    <w:tr w:rsidR="00E756D6" w:rsidTr="00A03C05">
      <w:trPr>
        <w:cantSplit/>
        <w:trHeight w:val="727"/>
      </w:trPr>
      <w:tc>
        <w:tcPr>
          <w:tcW w:w="4253" w:type="dxa"/>
          <w:shd w:val="clear" w:color="auto" w:fill="auto"/>
        </w:tcPr>
        <w:p w:rsidR="00E756D6" w:rsidRPr="008E1107" w:rsidRDefault="00E756D6" w:rsidP="00A03C05">
          <w:pPr>
            <w:pStyle w:val="Sidhuvud"/>
            <w:tabs>
              <w:tab w:val="left" w:pos="3782"/>
            </w:tabs>
            <w:rPr>
              <w:lang w:eastAsia="sv-SE"/>
            </w:rPr>
          </w:pPr>
          <w:r>
            <w:rPr>
              <w:noProof/>
              <w:lang w:eastAsia="sv-SE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mkLogo2" o:spid="_x0000_s4110" type="#_x0000_t202" alt="bmkLogo2" style="position:absolute;margin-left:59.5pt;margin-top:28.3pt;width:113.4pt;height:25.5pt;z-index:251677696;mso-position-horizontal:absolute;mso-position-horizontal-relative:page;mso-position-vertical:absolute;mso-position-vertical-relative:page" o:allowincell="f" stroked="f">
                <v:fill r:id="rId1" o:title="logoTS" type="frame"/>
                <v:textbox style="mso-next-textbox:#bmkLogo2" inset="0,0,0,0">
                  <w:txbxContent>
                    <w:p w:rsidR="00E756D6" w:rsidRPr="00A4679C" w:rsidRDefault="00E756D6" w:rsidP="00A03C05"/>
                  </w:txbxContent>
                </v:textbox>
                <w10:wrap anchorx="page" anchory="page"/>
                <w10:anchorlock/>
              </v:shape>
            </w:pict>
          </w:r>
        </w:p>
      </w:tc>
      <w:tc>
        <w:tcPr>
          <w:tcW w:w="4678" w:type="dxa"/>
          <w:shd w:val="clear" w:color="auto" w:fill="auto"/>
          <w:hideMark/>
        </w:tcPr>
        <w:p w:rsidR="00E756D6" w:rsidRPr="00103327" w:rsidRDefault="00E756D6" w:rsidP="009D2BFB">
          <w:pPr>
            <w:pStyle w:val="Rubrik1"/>
          </w:pPr>
          <w:r w:rsidRPr="00103327">
            <w:t>Ansökan om att transportera farligt gods (Dangerous Goods, DG)</w:t>
          </w:r>
        </w:p>
        <w:p w:rsidR="00E756D6" w:rsidRPr="00C46D67" w:rsidRDefault="00E756D6" w:rsidP="006F03B4">
          <w:pPr>
            <w:pStyle w:val="Brdtext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sz w:val="22"/>
              <w:lang w:val="en-GB"/>
            </w:rPr>
            <w:t>Version 2018-03-12</w:t>
          </w:r>
        </w:p>
      </w:tc>
      <w:bookmarkStart w:id="1" w:name="objPageNbr_02"/>
      <w:tc>
        <w:tcPr>
          <w:tcW w:w="924" w:type="dxa"/>
          <w:shd w:val="clear" w:color="auto" w:fill="auto"/>
        </w:tcPr>
        <w:p w:rsidR="00E756D6" w:rsidRPr="008E1107" w:rsidRDefault="00E756D6" w:rsidP="00A03C05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0E7D5A">
            <w:rPr>
              <w:rStyle w:val="Sidnummer"/>
              <w:noProof/>
              <w:lang w:eastAsia="sv-SE"/>
            </w:rPr>
            <w:t>6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0E7D5A" w:rsidRPr="000E7D5A">
              <w:rPr>
                <w:rStyle w:val="Sidnummer"/>
                <w:noProof/>
                <w:lang w:eastAsia="sv-SE"/>
              </w:rPr>
              <w:t>6</w:t>
            </w:r>
          </w:fldSimple>
          <w:r>
            <w:rPr>
              <w:rStyle w:val="Sidnummer"/>
              <w:lang w:eastAsia="sv-SE"/>
            </w:rPr>
            <w:t>)</w:t>
          </w:r>
          <w:r w:rsidRPr="008E1107">
            <w:rPr>
              <w:rStyle w:val="Sidnummer"/>
              <w:lang w:eastAsia="sv-SE"/>
            </w:rPr>
            <w:t xml:space="preserve"> </w:t>
          </w:r>
          <w:bookmarkEnd w:id="1"/>
        </w:p>
      </w:tc>
    </w:tr>
  </w:tbl>
  <w:p w:rsidR="00E756D6" w:rsidRPr="001B176C" w:rsidRDefault="00E756D6" w:rsidP="00A03C05">
    <w:pPr>
      <w:pStyle w:val="Sidhuvud"/>
      <w:rPr>
        <w:sz w:val="12"/>
      </w:rPr>
    </w:pPr>
    <w:bookmarkStart w:id="2" w:name="insFollowingHeader_01"/>
    <w:r>
      <w:rPr>
        <w:sz w:val="12"/>
      </w:rPr>
      <w:t xml:space="preserve"> </w:t>
    </w:r>
    <w:bookmarkEnd w:id="2"/>
  </w:p>
  <w:p w:rsidR="00E756D6" w:rsidRPr="0013375B" w:rsidRDefault="00E756D6" w:rsidP="001337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678"/>
      <w:gridCol w:w="924"/>
    </w:tblGrid>
    <w:tr w:rsidR="00E756D6" w:rsidTr="00A03C05">
      <w:trPr>
        <w:cantSplit/>
        <w:trHeight w:val="741"/>
      </w:trPr>
      <w:tc>
        <w:tcPr>
          <w:tcW w:w="4253" w:type="dxa"/>
          <w:shd w:val="clear" w:color="auto" w:fill="auto"/>
        </w:tcPr>
        <w:p w:rsidR="00E756D6" w:rsidRPr="008E1107" w:rsidRDefault="00E756D6" w:rsidP="00A03C05">
          <w:pPr>
            <w:pStyle w:val="Sidhuvud"/>
            <w:tabs>
              <w:tab w:val="left" w:pos="3782"/>
            </w:tabs>
            <w:rPr>
              <w:lang w:eastAsia="sv-SE"/>
            </w:rPr>
          </w:pPr>
        </w:p>
      </w:tc>
      <w:tc>
        <w:tcPr>
          <w:tcW w:w="4678" w:type="dxa"/>
          <w:shd w:val="clear" w:color="auto" w:fill="auto"/>
          <w:hideMark/>
        </w:tcPr>
        <w:p w:rsidR="00E756D6" w:rsidRPr="00103327" w:rsidRDefault="00E756D6" w:rsidP="0013375B">
          <w:pPr>
            <w:pStyle w:val="Rubrik1"/>
          </w:pPr>
          <w:bookmarkStart w:id="3" w:name="bmkDocType_01"/>
          <w:r w:rsidRPr="00103327">
            <w:t xml:space="preserve">Ansökan om </w:t>
          </w:r>
          <w:bookmarkEnd w:id="3"/>
          <w:r w:rsidRPr="00103327">
            <w:t>att transportera farligt gods (Dangerous Goods, DG)</w:t>
          </w:r>
        </w:p>
        <w:p w:rsidR="00E756D6" w:rsidRPr="00C46D67" w:rsidRDefault="00E756D6" w:rsidP="00485826">
          <w:pPr>
            <w:pStyle w:val="Brdtext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  <w:sz w:val="22"/>
              <w:lang w:val="en-GB"/>
            </w:rPr>
            <w:t xml:space="preserve">Version </w:t>
          </w:r>
          <w:r w:rsidRPr="00C46D67">
            <w:rPr>
              <w:rFonts w:ascii="Arial" w:hAnsi="Arial" w:cs="Arial"/>
              <w:sz w:val="22"/>
              <w:lang w:val="en-GB"/>
            </w:rPr>
            <w:t>2018-</w:t>
          </w:r>
          <w:r>
            <w:rPr>
              <w:rFonts w:ascii="Arial" w:hAnsi="Arial" w:cs="Arial"/>
              <w:sz w:val="22"/>
              <w:lang w:val="en-GB"/>
            </w:rPr>
            <w:t>03-12</w:t>
          </w:r>
        </w:p>
      </w:tc>
      <w:bookmarkStart w:id="4" w:name="objPageNbr_01"/>
      <w:tc>
        <w:tcPr>
          <w:tcW w:w="924" w:type="dxa"/>
          <w:shd w:val="clear" w:color="auto" w:fill="auto"/>
        </w:tcPr>
        <w:p w:rsidR="00E756D6" w:rsidRPr="008E1107" w:rsidRDefault="00E756D6" w:rsidP="00A03C05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0E7D5A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0E7D5A" w:rsidRPr="000E7D5A">
              <w:rPr>
                <w:rStyle w:val="Sidnummer"/>
                <w:noProof/>
                <w:lang w:eastAsia="sv-SE"/>
              </w:rPr>
              <w:t>6</w:t>
            </w:r>
          </w:fldSimple>
          <w:r>
            <w:rPr>
              <w:rStyle w:val="Sidnummer"/>
              <w:lang w:eastAsia="sv-SE"/>
            </w:rPr>
            <w:t>)</w:t>
          </w:r>
          <w:r w:rsidRPr="008E1107">
            <w:rPr>
              <w:rStyle w:val="Sidnummer"/>
              <w:lang w:eastAsia="sv-SE"/>
            </w:rPr>
            <w:t xml:space="preserve"> </w:t>
          </w:r>
          <w:bookmarkEnd w:id="4"/>
        </w:p>
      </w:tc>
    </w:tr>
  </w:tbl>
  <w:p w:rsidR="00E756D6" w:rsidRPr="001B176C" w:rsidRDefault="00E756D6" w:rsidP="00A03C05">
    <w:pPr>
      <w:pStyle w:val="Sidhuvud"/>
      <w:rPr>
        <w:sz w:val="12"/>
      </w:rPr>
    </w:pPr>
    <w:bookmarkStart w:id="5" w:name="insFirstHeader_01"/>
    <w:r>
      <w:rPr>
        <w:sz w:val="12"/>
      </w:rPr>
      <w:t xml:space="preserve"> </w:t>
    </w:r>
    <w:bookmarkEnd w:id="5"/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4" o:spid="_x0000_s4109" type="#_x0000_t202" style="position:absolute;margin-left:19.55pt;margin-top:159.25pt;width:29.95pt;height:593.95pt;z-index: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" filled="f" stroked="f">
          <v:textbox style="layout-flow:vertical;mso-layout-flow-alt:bottom-to-top;mso-next-textbox:#Textruta 4" inset="0,0,0,0">
            <w:txbxContent>
              <w:bookmarkStart w:id="6" w:name="objTempId_01"/>
              <w:p w:rsidR="00E756D6" w:rsidRDefault="00E756D6" w:rsidP="00A03C05">
                <w:pPr>
                  <w:pStyle w:val="Blankettnr"/>
                </w:pPr>
                <w:r>
                  <w:fldChar w:fldCharType="begin"/>
                </w:r>
                <w:r>
                  <w:instrText xml:space="preserve"> COMMENTS   \* MERGEFORMAT </w:instrText>
                </w:r>
                <w:r>
                  <w:fldChar w:fldCharType="separate"/>
                </w:r>
                <w:r>
                  <w:t>TS7000, v1.3, 2014-06-05</w:t>
                </w:r>
                <w:r>
                  <w:fldChar w:fldCharType="end"/>
                </w:r>
                <w:r>
                  <w:t xml:space="preserve"> </w:t>
                </w:r>
                <w:bookmarkEnd w:id="6"/>
                <w:r>
                  <w:t xml:space="preserve"> </w:t>
                </w:r>
                <w:bookmarkStart w:id="7" w:name="objFileName_01"/>
                <w:r>
                  <w:t xml:space="preserve">  </w:t>
                </w:r>
                <w:bookmarkEnd w:id="7"/>
              </w:p>
            </w:txbxContent>
          </v:textbox>
          <w10:wrap anchorx="page" anchory="page"/>
          <w10:anchorlock/>
        </v:shape>
      </w:pict>
    </w:r>
    <w:r>
      <w:rPr>
        <w:noProof/>
      </w:rPr>
      <w:pict>
        <v:shape id="bmkLogo" o:spid="_x0000_s4108" type="#_x0000_t202" alt="bmkLogo" style="position:absolute;margin-left:59.5pt;margin-top:28.3pt;width:151.65pt;height:34pt;z-index:251674624;mso-position-horizontal:absolute;mso-position-horizontal-relative:page;mso-position-vertical:absolute;mso-position-vertical-relative:page" o:allowincell="f" stroked="f">
          <v:fill r:id="rId1" o:title="logoTS" type="frame"/>
          <v:textbox style="mso-next-textbox:#bmkLogo" inset="0,0,0,0">
            <w:txbxContent>
              <w:p w:rsidR="00E756D6" w:rsidRPr="003D7109" w:rsidRDefault="00E756D6" w:rsidP="00A03C05"/>
            </w:txbxContent>
          </v:textbox>
          <w10:wrap anchorx="page" anchory="page"/>
          <w10:anchorlock/>
        </v:shape>
      </w:pict>
    </w:r>
  </w:p>
  <w:p w:rsidR="00E756D6" w:rsidRPr="0013375B" w:rsidRDefault="00E756D6" w:rsidP="001337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5DD12E5"/>
    <w:multiLevelType w:val="hybridMultilevel"/>
    <w:tmpl w:val="43CC61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BcXlSciuW2hoiK0pxTuIOZ7fOEh3wmLevVRQ+78n8WBHEIhbAoSjtwTXt9KbMMpUquMCdXso1BI50QSt/W/qJQ==" w:salt="ws5LBFToWZp943y9MgiUwg=="/>
  <w:defaultTabStop w:val="1304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DE"/>
    <w:rsid w:val="00003569"/>
    <w:rsid w:val="00012C61"/>
    <w:rsid w:val="0001451F"/>
    <w:rsid w:val="000229B1"/>
    <w:rsid w:val="0002427F"/>
    <w:rsid w:val="000355F2"/>
    <w:rsid w:val="00042D78"/>
    <w:rsid w:val="00044692"/>
    <w:rsid w:val="00047824"/>
    <w:rsid w:val="00053689"/>
    <w:rsid w:val="0005579E"/>
    <w:rsid w:val="00075DB0"/>
    <w:rsid w:val="00081673"/>
    <w:rsid w:val="00093844"/>
    <w:rsid w:val="00093AFC"/>
    <w:rsid w:val="000B158A"/>
    <w:rsid w:val="000C3CCA"/>
    <w:rsid w:val="000E6ED1"/>
    <w:rsid w:val="000E7D5A"/>
    <w:rsid w:val="00103327"/>
    <w:rsid w:val="001045CA"/>
    <w:rsid w:val="001052D9"/>
    <w:rsid w:val="00112213"/>
    <w:rsid w:val="0013294C"/>
    <w:rsid w:val="0013375B"/>
    <w:rsid w:val="00154A87"/>
    <w:rsid w:val="001576E9"/>
    <w:rsid w:val="001629B8"/>
    <w:rsid w:val="00165B6E"/>
    <w:rsid w:val="001709E9"/>
    <w:rsid w:val="00185F2D"/>
    <w:rsid w:val="001B62AF"/>
    <w:rsid w:val="001C0C09"/>
    <w:rsid w:val="001C21FD"/>
    <w:rsid w:val="001D6B66"/>
    <w:rsid w:val="001D7B29"/>
    <w:rsid w:val="001E1FF8"/>
    <w:rsid w:val="001F2ADC"/>
    <w:rsid w:val="00202A2F"/>
    <w:rsid w:val="00207181"/>
    <w:rsid w:val="00211430"/>
    <w:rsid w:val="0021406C"/>
    <w:rsid w:val="0023390F"/>
    <w:rsid w:val="002366A6"/>
    <w:rsid w:val="0024064C"/>
    <w:rsid w:val="00254887"/>
    <w:rsid w:val="00256269"/>
    <w:rsid w:val="00260472"/>
    <w:rsid w:val="0026316B"/>
    <w:rsid w:val="00264CD1"/>
    <w:rsid w:val="00267154"/>
    <w:rsid w:val="00273028"/>
    <w:rsid w:val="002778B0"/>
    <w:rsid w:val="00287E97"/>
    <w:rsid w:val="0029151E"/>
    <w:rsid w:val="002942C6"/>
    <w:rsid w:val="002B05F1"/>
    <w:rsid w:val="002B144B"/>
    <w:rsid w:val="002C0462"/>
    <w:rsid w:val="002C45DD"/>
    <w:rsid w:val="002D1F66"/>
    <w:rsid w:val="002D6093"/>
    <w:rsid w:val="002D71B6"/>
    <w:rsid w:val="002E2CC1"/>
    <w:rsid w:val="002F0D1A"/>
    <w:rsid w:val="002F2323"/>
    <w:rsid w:val="0031212C"/>
    <w:rsid w:val="003327BC"/>
    <w:rsid w:val="0033282D"/>
    <w:rsid w:val="003328FE"/>
    <w:rsid w:val="00333565"/>
    <w:rsid w:val="00337B71"/>
    <w:rsid w:val="00342EEF"/>
    <w:rsid w:val="00344556"/>
    <w:rsid w:val="00354A7B"/>
    <w:rsid w:val="00364F9A"/>
    <w:rsid w:val="003742C3"/>
    <w:rsid w:val="003842C9"/>
    <w:rsid w:val="00393D38"/>
    <w:rsid w:val="003B2B26"/>
    <w:rsid w:val="003B314E"/>
    <w:rsid w:val="003D791B"/>
    <w:rsid w:val="003E48C3"/>
    <w:rsid w:val="003F331A"/>
    <w:rsid w:val="003F36AE"/>
    <w:rsid w:val="003F40ED"/>
    <w:rsid w:val="00401375"/>
    <w:rsid w:val="00413C22"/>
    <w:rsid w:val="0042028F"/>
    <w:rsid w:val="00427F35"/>
    <w:rsid w:val="00432407"/>
    <w:rsid w:val="00432CD1"/>
    <w:rsid w:val="004457F2"/>
    <w:rsid w:val="004622BA"/>
    <w:rsid w:val="004734AD"/>
    <w:rsid w:val="00485826"/>
    <w:rsid w:val="00493E41"/>
    <w:rsid w:val="004958D6"/>
    <w:rsid w:val="004A0FEF"/>
    <w:rsid w:val="004A694E"/>
    <w:rsid w:val="004C3E4F"/>
    <w:rsid w:val="004D60FC"/>
    <w:rsid w:val="004D6E55"/>
    <w:rsid w:val="004E6E87"/>
    <w:rsid w:val="004F45F4"/>
    <w:rsid w:val="004F5A5A"/>
    <w:rsid w:val="005138C5"/>
    <w:rsid w:val="005239F0"/>
    <w:rsid w:val="00525C70"/>
    <w:rsid w:val="00535E7A"/>
    <w:rsid w:val="00537969"/>
    <w:rsid w:val="00540DB2"/>
    <w:rsid w:val="00552C8F"/>
    <w:rsid w:val="00560DE6"/>
    <w:rsid w:val="00562F66"/>
    <w:rsid w:val="0056659D"/>
    <w:rsid w:val="00586CD3"/>
    <w:rsid w:val="005922C2"/>
    <w:rsid w:val="00592769"/>
    <w:rsid w:val="00595471"/>
    <w:rsid w:val="00597DD9"/>
    <w:rsid w:val="005A1C9C"/>
    <w:rsid w:val="005A42F9"/>
    <w:rsid w:val="005B289C"/>
    <w:rsid w:val="005B28E4"/>
    <w:rsid w:val="005B3BFB"/>
    <w:rsid w:val="005B48EA"/>
    <w:rsid w:val="005C28CA"/>
    <w:rsid w:val="005D6DFB"/>
    <w:rsid w:val="005E5901"/>
    <w:rsid w:val="005E72B1"/>
    <w:rsid w:val="005F1C01"/>
    <w:rsid w:val="005F6E75"/>
    <w:rsid w:val="00601828"/>
    <w:rsid w:val="00610E7C"/>
    <w:rsid w:val="00612261"/>
    <w:rsid w:val="00634B48"/>
    <w:rsid w:val="00665EBE"/>
    <w:rsid w:val="00671B00"/>
    <w:rsid w:val="00671EB9"/>
    <w:rsid w:val="0067376C"/>
    <w:rsid w:val="00674565"/>
    <w:rsid w:val="006746AB"/>
    <w:rsid w:val="00676B24"/>
    <w:rsid w:val="00677A1A"/>
    <w:rsid w:val="0069751D"/>
    <w:rsid w:val="006A0D1D"/>
    <w:rsid w:val="006B72F5"/>
    <w:rsid w:val="006C19AC"/>
    <w:rsid w:val="006C445E"/>
    <w:rsid w:val="006C7DCB"/>
    <w:rsid w:val="006D1951"/>
    <w:rsid w:val="006E06DF"/>
    <w:rsid w:val="006F03B4"/>
    <w:rsid w:val="006F335C"/>
    <w:rsid w:val="006F393E"/>
    <w:rsid w:val="00701670"/>
    <w:rsid w:val="007172BB"/>
    <w:rsid w:val="00717DDA"/>
    <w:rsid w:val="00725755"/>
    <w:rsid w:val="00734537"/>
    <w:rsid w:val="00735A19"/>
    <w:rsid w:val="00736678"/>
    <w:rsid w:val="00736AC7"/>
    <w:rsid w:val="00743F7B"/>
    <w:rsid w:val="00745EBE"/>
    <w:rsid w:val="00746C11"/>
    <w:rsid w:val="0074767D"/>
    <w:rsid w:val="00785ABC"/>
    <w:rsid w:val="0079037E"/>
    <w:rsid w:val="00795F86"/>
    <w:rsid w:val="00796F53"/>
    <w:rsid w:val="007A1A7B"/>
    <w:rsid w:val="007B2887"/>
    <w:rsid w:val="007C247D"/>
    <w:rsid w:val="007D1C7B"/>
    <w:rsid w:val="007D36D2"/>
    <w:rsid w:val="007E04A7"/>
    <w:rsid w:val="007E1A45"/>
    <w:rsid w:val="007F3D3B"/>
    <w:rsid w:val="00803CBB"/>
    <w:rsid w:val="008067A9"/>
    <w:rsid w:val="00845E54"/>
    <w:rsid w:val="00854340"/>
    <w:rsid w:val="008562EF"/>
    <w:rsid w:val="00861C3D"/>
    <w:rsid w:val="00876ADA"/>
    <w:rsid w:val="00884C49"/>
    <w:rsid w:val="008A6B27"/>
    <w:rsid w:val="008B6B6B"/>
    <w:rsid w:val="008B7C0E"/>
    <w:rsid w:val="008D0788"/>
    <w:rsid w:val="008D6647"/>
    <w:rsid w:val="008E48FF"/>
    <w:rsid w:val="009014F5"/>
    <w:rsid w:val="00905BB4"/>
    <w:rsid w:val="0091208C"/>
    <w:rsid w:val="00913073"/>
    <w:rsid w:val="00924FD2"/>
    <w:rsid w:val="00926E63"/>
    <w:rsid w:val="00934FDB"/>
    <w:rsid w:val="00935DFC"/>
    <w:rsid w:val="00936E61"/>
    <w:rsid w:val="00956526"/>
    <w:rsid w:val="009749F2"/>
    <w:rsid w:val="009764DA"/>
    <w:rsid w:val="00977C65"/>
    <w:rsid w:val="0098584F"/>
    <w:rsid w:val="0099143F"/>
    <w:rsid w:val="009A20F0"/>
    <w:rsid w:val="009A7C4E"/>
    <w:rsid w:val="009B19A3"/>
    <w:rsid w:val="009B22CF"/>
    <w:rsid w:val="009B2F75"/>
    <w:rsid w:val="009C3BA3"/>
    <w:rsid w:val="009D2BFB"/>
    <w:rsid w:val="009D588E"/>
    <w:rsid w:val="009E21E7"/>
    <w:rsid w:val="009F002B"/>
    <w:rsid w:val="009F3560"/>
    <w:rsid w:val="00A03C05"/>
    <w:rsid w:val="00A13047"/>
    <w:rsid w:val="00A14C94"/>
    <w:rsid w:val="00A36B47"/>
    <w:rsid w:val="00A52766"/>
    <w:rsid w:val="00A5303A"/>
    <w:rsid w:val="00A54977"/>
    <w:rsid w:val="00A70A35"/>
    <w:rsid w:val="00A960D7"/>
    <w:rsid w:val="00AA2247"/>
    <w:rsid w:val="00AA2FDB"/>
    <w:rsid w:val="00AB326C"/>
    <w:rsid w:val="00AB37AD"/>
    <w:rsid w:val="00AB7767"/>
    <w:rsid w:val="00AC0384"/>
    <w:rsid w:val="00AC3D0A"/>
    <w:rsid w:val="00AD3C75"/>
    <w:rsid w:val="00AE32A8"/>
    <w:rsid w:val="00AF339B"/>
    <w:rsid w:val="00AF603F"/>
    <w:rsid w:val="00B05133"/>
    <w:rsid w:val="00B22B4C"/>
    <w:rsid w:val="00B273A0"/>
    <w:rsid w:val="00B33861"/>
    <w:rsid w:val="00B33AB9"/>
    <w:rsid w:val="00B62405"/>
    <w:rsid w:val="00B70BBE"/>
    <w:rsid w:val="00B771BD"/>
    <w:rsid w:val="00BA1656"/>
    <w:rsid w:val="00BA5925"/>
    <w:rsid w:val="00BA5C48"/>
    <w:rsid w:val="00BB76B3"/>
    <w:rsid w:val="00BC26D9"/>
    <w:rsid w:val="00BE0BC3"/>
    <w:rsid w:val="00BE479D"/>
    <w:rsid w:val="00C03B9B"/>
    <w:rsid w:val="00C129C6"/>
    <w:rsid w:val="00C148D6"/>
    <w:rsid w:val="00C26066"/>
    <w:rsid w:val="00C316F9"/>
    <w:rsid w:val="00C46D67"/>
    <w:rsid w:val="00C605AA"/>
    <w:rsid w:val="00C61728"/>
    <w:rsid w:val="00C636FD"/>
    <w:rsid w:val="00C84F3F"/>
    <w:rsid w:val="00C86561"/>
    <w:rsid w:val="00C92386"/>
    <w:rsid w:val="00C92694"/>
    <w:rsid w:val="00CA198B"/>
    <w:rsid w:val="00CA2D42"/>
    <w:rsid w:val="00CA36C6"/>
    <w:rsid w:val="00CB7E5D"/>
    <w:rsid w:val="00CC2A0E"/>
    <w:rsid w:val="00CC48A5"/>
    <w:rsid w:val="00CD2E5B"/>
    <w:rsid w:val="00CF2404"/>
    <w:rsid w:val="00CF5632"/>
    <w:rsid w:val="00D145F0"/>
    <w:rsid w:val="00D1721C"/>
    <w:rsid w:val="00D17DC7"/>
    <w:rsid w:val="00D2695E"/>
    <w:rsid w:val="00D27DD3"/>
    <w:rsid w:val="00D30279"/>
    <w:rsid w:val="00D428F9"/>
    <w:rsid w:val="00D438B0"/>
    <w:rsid w:val="00D52606"/>
    <w:rsid w:val="00D7368A"/>
    <w:rsid w:val="00D75770"/>
    <w:rsid w:val="00D87E30"/>
    <w:rsid w:val="00D927FF"/>
    <w:rsid w:val="00DA2643"/>
    <w:rsid w:val="00DB1231"/>
    <w:rsid w:val="00DC1276"/>
    <w:rsid w:val="00DC39A2"/>
    <w:rsid w:val="00DF7552"/>
    <w:rsid w:val="00E01BD1"/>
    <w:rsid w:val="00E24177"/>
    <w:rsid w:val="00E243D2"/>
    <w:rsid w:val="00E25603"/>
    <w:rsid w:val="00E32250"/>
    <w:rsid w:val="00E35B8B"/>
    <w:rsid w:val="00E60710"/>
    <w:rsid w:val="00E66025"/>
    <w:rsid w:val="00E756D6"/>
    <w:rsid w:val="00E77A21"/>
    <w:rsid w:val="00E810FA"/>
    <w:rsid w:val="00E856B1"/>
    <w:rsid w:val="00E86080"/>
    <w:rsid w:val="00E9101A"/>
    <w:rsid w:val="00E952D3"/>
    <w:rsid w:val="00E95610"/>
    <w:rsid w:val="00EA5922"/>
    <w:rsid w:val="00EA5B39"/>
    <w:rsid w:val="00EA60C3"/>
    <w:rsid w:val="00EB52E6"/>
    <w:rsid w:val="00EC4D0C"/>
    <w:rsid w:val="00EE45DE"/>
    <w:rsid w:val="00EE5C0A"/>
    <w:rsid w:val="00EF327E"/>
    <w:rsid w:val="00EF6F8B"/>
    <w:rsid w:val="00F03159"/>
    <w:rsid w:val="00F033E9"/>
    <w:rsid w:val="00F057C1"/>
    <w:rsid w:val="00F061C2"/>
    <w:rsid w:val="00F12B44"/>
    <w:rsid w:val="00F27A27"/>
    <w:rsid w:val="00F344FF"/>
    <w:rsid w:val="00F42DDC"/>
    <w:rsid w:val="00F43A5D"/>
    <w:rsid w:val="00F5103B"/>
    <w:rsid w:val="00F74A0C"/>
    <w:rsid w:val="00F81853"/>
    <w:rsid w:val="00F91F21"/>
    <w:rsid w:val="00F93767"/>
    <w:rsid w:val="00FA11A0"/>
    <w:rsid w:val="00FA12AC"/>
    <w:rsid w:val="00FA1EF2"/>
    <w:rsid w:val="00FC4227"/>
    <w:rsid w:val="00FD2A48"/>
    <w:rsid w:val="00FE0796"/>
    <w:rsid w:val="00FF0C76"/>
    <w:rsid w:val="00FF5FD0"/>
    <w:rsid w:val="00FF68C4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  <w14:docId w14:val="734282D7"/>
  <w15:docId w15:val="{139523DC-AD65-4628-BA67-3BCCB888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2C45DD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qFormat/>
    <w:rsid w:val="0026316B"/>
    <w:pPr>
      <w:keepNext/>
      <w:keepLines/>
      <w:spacing w:after="6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26316B"/>
    <w:pPr>
      <w:keepNext/>
      <w:keepLines/>
      <w:spacing w:before="160"/>
      <w:outlineLvl w:val="1"/>
    </w:pPr>
    <w:rPr>
      <w:rFonts w:ascii="Arial" w:eastAsiaTheme="majorEastAsia" w:hAnsi="Arial" w:cstheme="majorBidi"/>
      <w:b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9D588E"/>
    <w:pPr>
      <w:keepNext/>
      <w:keepLines/>
      <w:spacing w:before="120"/>
      <w:outlineLvl w:val="2"/>
    </w:pPr>
    <w:rPr>
      <w:rFonts w:ascii="Arial" w:eastAsiaTheme="majorEastAsia" w:hAnsi="Arial" w:cstheme="majorBidi"/>
      <w:bCs/>
      <w:sz w:val="22"/>
    </w:rPr>
  </w:style>
  <w:style w:type="paragraph" w:styleId="Rubrik4">
    <w:name w:val="heading 4"/>
    <w:basedOn w:val="Normal"/>
    <w:next w:val="Brdtext"/>
    <w:link w:val="Rubrik4Char"/>
    <w:uiPriority w:val="9"/>
    <w:rsid w:val="001C0C09"/>
    <w:pPr>
      <w:keepNext/>
      <w:keepLines/>
      <w:spacing w:before="12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6316B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6316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D588E"/>
    <w:rPr>
      <w:rFonts w:ascii="Arial" w:eastAsiaTheme="majorEastAsia" w:hAnsi="Arial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1C0C09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rsid w:val="00671B00"/>
    <w:pPr>
      <w:keepNext/>
      <w:spacing w:before="2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semiHidden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2C45DD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Blankettext">
    <w:name w:val="Blankettext"/>
    <w:basedOn w:val="Brdtext"/>
    <w:qFormat/>
    <w:rsid w:val="00DB1231"/>
    <w:pPr>
      <w:spacing w:after="40"/>
    </w:pPr>
    <w:rPr>
      <w:sz w:val="22"/>
    </w:rPr>
  </w:style>
  <w:style w:type="paragraph" w:customStyle="1" w:styleId="Tabelltext">
    <w:name w:val="Tabelltext"/>
    <w:basedOn w:val="Blankettext"/>
    <w:rsid w:val="001C0C09"/>
    <w:pPr>
      <w:spacing w:before="40" w:line="240" w:lineRule="atLeast"/>
    </w:pPr>
    <w:rPr>
      <w:rFonts w:ascii="Arial" w:hAnsi="Arial"/>
      <w:sz w:val="20"/>
    </w:rPr>
  </w:style>
  <w:style w:type="paragraph" w:customStyle="1" w:styleId="Ledtext3pt">
    <w:name w:val="Ledtext 3 pt"/>
    <w:basedOn w:val="Ledtext"/>
    <w:rsid w:val="00C61728"/>
    <w:rPr>
      <w:sz w:val="2"/>
    </w:rPr>
  </w:style>
  <w:style w:type="paragraph" w:customStyle="1" w:styleId="Brdtext21">
    <w:name w:val="Brödtext 21"/>
    <w:basedOn w:val="Normal"/>
    <w:rsid w:val="00934FDB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eastAsia="Times New Roman" w:hAnsi="Arial" w:cs="Times New Roman"/>
      <w:sz w:val="20"/>
      <w:szCs w:val="20"/>
      <w:lang w:val="en-GB" w:eastAsia="sv-SE"/>
    </w:rPr>
  </w:style>
  <w:style w:type="paragraph" w:customStyle="1" w:styleId="Default">
    <w:name w:val="Default"/>
    <w:rsid w:val="00374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9A7C4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9A7C4E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\Gemensamma%20mallar\Blankett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93D9-12BB-4FE5-9E93-5C47ABAA2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0</TotalTime>
  <Pages>6</Pages>
  <Words>1887</Words>
  <Characters>11061</Characters>
  <Application>Microsoft Office Word</Application>
  <DocSecurity>0</DocSecurity>
  <Lines>460</Lines>
  <Paragraphs>331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Nordström Pia</dc:creator>
  <dc:description>TS7000, v1.3, 2017-08-11</dc:description>
  <cp:lastModifiedBy>Nordström Pia</cp:lastModifiedBy>
  <cp:revision>2</cp:revision>
  <cp:lastPrinted>2011-06-10T12:11:00Z</cp:lastPrinted>
  <dcterms:created xsi:type="dcterms:W3CDTF">2018-03-12T14:38:00Z</dcterms:created>
  <dcterms:modified xsi:type="dcterms:W3CDTF">2018-03-12T14:38:00Z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Blankett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Nordström, Pia</vt:lpwstr>
  </property>
  <property fmtid="{D5CDD505-2E9C-101B-9397-08002B2CF9AE}" pid="15" name="cdpLogo">
    <vt:lpwstr>A</vt:lpwstr>
  </property>
  <property fmtid="{D5CDD505-2E9C-101B-9397-08002B2CF9AE}" pid="16" name="cdpFooterType">
    <vt:lpwstr/>
  </property>
  <property fmtid="{D5CDD505-2E9C-101B-9397-08002B2CF9AE}" pid="17" name="cdpName">
    <vt:lpwstr>Pia Nordström</vt:lpwstr>
  </property>
  <property fmtid="{D5CDD505-2E9C-101B-9397-08002B2CF9AE}" pid="18" name="cdpTitle">
    <vt:lpwstr>Flyginspektör</vt:lpwstr>
  </property>
  <property fmtid="{D5CDD505-2E9C-101B-9397-08002B2CF9AE}" pid="19" name="cdpPhone">
    <vt:lpwstr>010-495 38 05</vt:lpwstr>
  </property>
  <property fmtid="{D5CDD505-2E9C-101B-9397-08002B2CF9AE}" pid="20" name="cdpCellphone">
    <vt:lpwstr>073-051 65 00</vt:lpwstr>
  </property>
  <property fmtid="{D5CDD505-2E9C-101B-9397-08002B2CF9AE}" pid="21" name="cdpEmail">
    <vt:lpwstr>pia.nordstrom@transportstyrelsen.se</vt:lpwstr>
  </property>
  <property fmtid="{D5CDD505-2E9C-101B-9397-08002B2CF9AE}" pid="22" name="cdpFax">
    <vt:lpwstr>08-754 42 10</vt:lpwstr>
  </property>
  <property fmtid="{D5CDD505-2E9C-101B-9397-08002B2CF9AE}" pid="23" name="cdpSignature">
    <vt:lpwstr/>
  </property>
  <property fmtid="{D5CDD505-2E9C-101B-9397-08002B2CF9AE}" pid="24" name="cdpOrganization">
    <vt:lpwstr>Sjö- och luftfartsavdelningen</vt:lpwstr>
  </property>
  <property fmtid="{D5CDD505-2E9C-101B-9397-08002B2CF9AE}" pid="25" name="cdpUnit">
    <vt:lpwstr>Enheten för operatörer, fartyg och luftfartyg (luft)</vt:lpwstr>
  </property>
  <property fmtid="{D5CDD505-2E9C-101B-9397-08002B2CF9AE}" pid="26" name="cdpWP">
    <vt:lpwstr>Sektionen för flygbolag</vt:lpwstr>
  </property>
  <property fmtid="{D5CDD505-2E9C-101B-9397-08002B2CF9AE}" pid="27" name="cdpFileName">
    <vt:lpwstr/>
  </property>
  <property fmtid="{D5CDD505-2E9C-101B-9397-08002B2CF9AE}" pid="28" name="cdpInsTempId">
    <vt:lpwstr>Sant</vt:lpwstr>
  </property>
  <property fmtid="{D5CDD505-2E9C-101B-9397-08002B2CF9AE}" pid="29" name="cdpInsProfile">
    <vt:lpwstr>Falskt,Falskt,Falskt,Falskt,Falskt,Falskt,Falskt,Falskt,Falskt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 </vt:lpwstr>
  </property>
  <property fmtid="{D5CDD505-2E9C-101B-9397-08002B2CF9AE}" pid="33" name="cdpDefaultLogo">
    <vt:lpwstr> </vt:lpwstr>
  </property>
  <property fmtid="{D5CDD505-2E9C-101B-9397-08002B2CF9AE}" pid="34" name="cdpInternal">
    <vt:lpwstr>False</vt:lpwstr>
  </property>
</Properties>
</file>