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W w:w="9073" w:type="dxa"/>
        <w:tblInd w:w="-743" w:type="dxa"/>
        <w:tblLook w:val="04A0"/>
      </w:tblPr>
      <w:tblGrid>
        <w:gridCol w:w="4537"/>
        <w:gridCol w:w="4536"/>
      </w:tblGrid>
      <w:tr w:rsidR="00AA599E" w:rsidRPr="00FE4E11" w:rsidTr="00FD2A49">
        <w:tc>
          <w:tcPr>
            <w:tcW w:w="4537" w:type="dxa"/>
            <w:shd w:val="clear" w:color="auto" w:fill="BFBFBF" w:themeFill="background1" w:themeFillShade="BF"/>
          </w:tcPr>
          <w:p w:rsidR="00AA599E" w:rsidRPr="00AA599E" w:rsidRDefault="00AA599E" w:rsidP="00AA599E">
            <w:pPr>
              <w:rPr>
                <w:b/>
              </w:rPr>
            </w:pPr>
            <w:r w:rsidRPr="00AA599E">
              <w:rPr>
                <w:b/>
              </w:rPr>
              <w:t>Bedömningskriterier enligt</w:t>
            </w:r>
          </w:p>
          <w:p w:rsidR="00AA599E" w:rsidRPr="00FE4E11" w:rsidRDefault="00AA599E" w:rsidP="00C72AB8">
            <w:pPr>
              <w:rPr>
                <w:color w:val="000000"/>
                <w:sz w:val="17"/>
                <w:szCs w:val="17"/>
              </w:rPr>
            </w:pPr>
            <w:r w:rsidRPr="00AA599E">
              <w:rPr>
                <w:b/>
              </w:rPr>
              <w:t>förordning (EU) nr 1158/2010</w:t>
            </w:r>
            <w:r w:rsidR="008C1555">
              <w:rPr>
                <w:b/>
              </w:rPr>
              <w:t>, bilaga II och III</w:t>
            </w:r>
            <w:r w:rsidRPr="00AA599E">
              <w:rPr>
                <w:b/>
              </w:rPr>
              <w:t xml:space="preserve"> </w:t>
            </w:r>
          </w:p>
        </w:tc>
        <w:tc>
          <w:tcPr>
            <w:tcW w:w="4536" w:type="dxa"/>
            <w:shd w:val="clear" w:color="auto" w:fill="BFBFBF" w:themeFill="background1" w:themeFillShade="BF"/>
            <w:vAlign w:val="bottom"/>
          </w:tcPr>
          <w:p w:rsidR="00AA599E" w:rsidRPr="00FE4E11" w:rsidRDefault="00AA599E" w:rsidP="00C93A91">
            <w:pPr>
              <w:rPr>
                <w:rFonts w:cs="Times New Roman"/>
                <w:b/>
                <w:bCs/>
                <w:sz w:val="20"/>
              </w:rPr>
            </w:pPr>
            <w:r w:rsidRPr="00FD2A49">
              <w:rPr>
                <w:rFonts w:cs="Times New Roman"/>
                <w:b/>
                <w:bCs/>
              </w:rPr>
              <w:t>Företagets dokumentation (ange företagets dokument ID samt vilken sida alt. vilka punkter som svarar mot begärda uppgifter)</w:t>
            </w:r>
          </w:p>
        </w:tc>
      </w:tr>
      <w:tr w:rsidR="00AA599E" w:rsidRPr="00FE4E11" w:rsidTr="00FD2A49">
        <w:tc>
          <w:tcPr>
            <w:tcW w:w="9073" w:type="dxa"/>
            <w:gridSpan w:val="2"/>
            <w:shd w:val="clear" w:color="auto" w:fill="D9D9D9" w:themeFill="background1" w:themeFillShade="D9"/>
          </w:tcPr>
          <w:p w:rsidR="00AA599E" w:rsidRPr="00FE4E11" w:rsidRDefault="00AA599E" w:rsidP="00787C7D">
            <w:pPr>
              <w:rPr>
                <w:rFonts w:cs="Times New Roman"/>
                <w:b/>
                <w:bCs/>
                <w:sz w:val="24"/>
                <w:szCs w:val="20"/>
              </w:rPr>
            </w:pPr>
            <w:r w:rsidRPr="00FD2A49">
              <w:rPr>
                <w:rFonts w:cs="Times New Roman"/>
                <w:color w:val="000000"/>
                <w:szCs w:val="20"/>
              </w:rPr>
              <w:t xml:space="preserve">Bilaga II </w:t>
            </w:r>
            <w:r w:rsidR="00C72AB8" w:rsidRPr="00FD2A49">
              <w:rPr>
                <w:rFonts w:cs="Times New Roman"/>
                <w:color w:val="000000"/>
                <w:szCs w:val="20"/>
              </w:rPr>
              <w:t>Säkerhetsintyg del A</w:t>
            </w:r>
          </w:p>
        </w:tc>
      </w:tr>
      <w:tr w:rsidR="00AA599E" w:rsidRPr="00FE4E11" w:rsidTr="00FD2A49">
        <w:tc>
          <w:tcPr>
            <w:tcW w:w="9073" w:type="dxa"/>
            <w:gridSpan w:val="2"/>
          </w:tcPr>
          <w:p w:rsidR="00AA599E" w:rsidRPr="00FE4E11" w:rsidRDefault="00AA599E" w:rsidP="00C93A91">
            <w:pPr>
              <w:rPr>
                <w:rFonts w:cs="Times New Roman"/>
                <w:b/>
                <w:bCs/>
                <w:sz w:val="20"/>
                <w:szCs w:val="20"/>
              </w:rPr>
            </w:pPr>
            <w:r w:rsidRPr="00FE4E11">
              <w:rPr>
                <w:rFonts w:cs="Times New Roman"/>
                <w:color w:val="000000"/>
                <w:sz w:val="20"/>
                <w:szCs w:val="20"/>
              </w:rPr>
              <w:t>A. RISKHANTERINGSÅTGÄRDER FÖR ALLA RISKER SOM JÄRNVÄGSFÖRETAGETS VERKSAMHET GER UPPHOV TILL</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A.1 Det finns förfaranden för att identifiera risker som har samband med järnvägsdrift, inklusive risker som uppstår som en direkt följd av arbetsaktiviteter, arbetets utformning eller arbetsbelastning och andra organisationers/personers verksamhet.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A.2 Det finns förfaranden för att utveckla och vidta åtgärder för riskhantering.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A.3 Det finns förfaranden för att övervaka riskhanteringsåtgärdernas effektivitet samt genomföra förändringar när så krävs.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A.4 Det finns förfaranden för att fastslå behovet av att samarbeta med andra enheter (såsom infrastrukturförvaltare, järnvägsföretag, tillverkare, underhållsleverantörer, underhållsansvariga enheter, fordonsinnehavare, tjänsteleverantörer och upphandlande enheter) i förekommande fall, om frågor som rör kontaktpunkterna mellan dem och som sannolikt kommer att påverka införandet av lämpliga riskhanteringsåtgärder i enlighet med artikel 4.3 i direktiv 2004/49/EG.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A.5 Det finns förfaranden för överenskommen dokumentation och kommunikation med relevanta enheter, inklusive identifiering av varje deltagande organisations roll och ansvar samt specifikationer för informationsutbyte.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A.6 Det finns förfaranden för att kontrollera hur effektiva dessa åtgärder är och genomföra förändringar när så krävs.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B. RISKHANTERING VID UNDERHÅLL OCH MATERIELFÖRSÖRJNING</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B.1 Det finns förfaranden för att få fram krav/standarder/processer gällande underhåll från säkerhetsdata och från tilldelningen av rullande materiel.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B.2 Det finns förfaranden för att anpassa underhållsintervallen efter typ och omfattning av den trafik som bedrivs och/eller data från rullande materiel.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B.3 Det finns förfaranden för att säkerställa att underhållsansvaret är klart definierat i syfte att fastställa underhållsbefattningarnas befogenheter och ange lämpliga ansvarsnivåer.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B.4 Det finns förfaranden för att samla in information om fel och brister som uppstår under den dagliga driften och för att rapportera dessa till dem som ansvarar för underhållet.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lastRenderedPageBreak/>
              <w:t xml:space="preserve">B.5 Det finns förfaranden för att identifiera och rapportera risker som uppstår på grund av brister samt konstruktioner med bristande överensstämmelse eller fel under hela livscykeln till berörda parter.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B.6 Det finns förfaranden för att verifiera och kontrollera underhållets utförande och resultat för att säkerställa att de överensstämmer med företagets normer.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C. RISKHANTERING SOM HÖR SAMMAN MED ANLITANDET AV ENTREPRENÖRER OCH KONTROLL AV LEVERANTÖRER</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C.1 Det finns förfaranden för att kontrollera kompetensen hos entreprenörer (inklusive underentreprenörer) och leverantörer.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C.2 Det finns förfaranden för att verifiera och kontrollera säkerhetsnivån och resultaten för alla upphandlade tjänster och produkter som tillhandahålls av antingen entreprenören eller leverantören för att säkerställa att de uppfyller de krav som anges i avtalet.</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C.3 Ansvarsområden och arbetsuppgifter gällande järnvägssäkerhet är tydligt definierade, kända och fördelade mellan avtalsparterna och alla andra berörda parter.</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C.4 Det finns förfaranden för att säkerställa att säkerhetsrelaterade handlingar och avtal går att spåra.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C.5 Det finns förfaranden för att säkerställa att säkerhetsuppgifter, inklusive utbyte av säkerhetsrelaterad information, utförs av entreprenörer eller leverantörer i enlighet med de relevanta krav som anges i avtalet.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D. RISKER SOM UPPSTÅR SOM ETT RESULTAT AV ANDRA PARTER UTANFÖR JÄRNVÄGSSYSTEMET</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D.1 Det finns förfaranden för att identifiera potentiella risker från andra parter utanför järnvägssystemet, där så är </w:t>
            </w:r>
            <w:proofErr w:type="spellStart"/>
            <w:r w:rsidRPr="00FE4E11">
              <w:rPr>
                <w:rFonts w:ascii="Times New Roman" w:hAnsi="Times New Roman" w:cs="Times New Roman"/>
                <w:color w:val="000000"/>
                <w:sz w:val="20"/>
                <w:szCs w:val="20"/>
              </w:rPr>
              <w:t>tilllämpligt</w:t>
            </w:r>
            <w:proofErr w:type="spellEnd"/>
            <w:r w:rsidRPr="00FE4E11">
              <w:rPr>
                <w:rFonts w:ascii="Times New Roman" w:hAnsi="Times New Roman" w:cs="Times New Roman"/>
                <w:color w:val="000000"/>
                <w:sz w:val="20"/>
                <w:szCs w:val="20"/>
              </w:rPr>
              <w:t xml:space="preserve"> och rimligt.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D.2 Det finns förfaranden för att fastställa lämpliga kontrollåtgärder för att begränsa de risker som finns identifierade i D.1 i den mån de hör samman med den sökandes ansvar.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D.3 Det finns förfaranden för att se till att de åtgärder som identifierades i D.2 är effektiva samt genomföra förändringar när så krävs.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E. DOKUMENTERING AV SÄKERHETSSTYRNINGSSYSTEMET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E.1 Det finns en beskrivning av verksamheten där driftens typ, omfattning och risk klargörs.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E.2 Det finns en beskrivning av säkerhetsstyrningssystemets struktur, av vilken roll- och ansvarsfördelning framgår.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E.3 Det finns en beskrivning av säkerhetsstyrningssystemets förfaranden, vilket krävs </w:t>
            </w:r>
            <w:r w:rsidRPr="00FE4E11">
              <w:rPr>
                <w:rFonts w:ascii="Times New Roman" w:hAnsi="Times New Roman" w:cs="Times New Roman"/>
                <w:color w:val="000000"/>
                <w:sz w:val="20"/>
                <w:szCs w:val="20"/>
              </w:rPr>
              <w:lastRenderedPageBreak/>
              <w:t xml:space="preserve">enligt artikel 9 och bilaga III till direktiv 2004/49/EG, i överensstämmelse med typen och omfattningen av trafik.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lastRenderedPageBreak/>
              <w:t xml:space="preserve">E.4 Det görs en uppräkning och kort beskrivning av säkerhetskritiska processer och uppgifter som är relevanta för den typ av verksamhet/tjänster som utförs.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F. ANSVARSFÖRDELNING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F.1 Det finns en beskrivning av hur samordningen av säkerhetsstyrningssystemets verksamhet i hela organisationen säkerställs, baserad på dokumenterad kunskap och huvudansvar på ledningsnivå.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F.2 Det finns förfaranden för att säkerställa att personal med delegerat ansvar inom organisationen har befogenhet, kompetens och lämpliga resurser för att fullgöra sitt </w:t>
            </w:r>
            <w:proofErr w:type="gramStart"/>
            <w:r w:rsidRPr="00FE4E11">
              <w:rPr>
                <w:rFonts w:ascii="Times New Roman" w:hAnsi="Times New Roman" w:cs="Times New Roman"/>
                <w:color w:val="000000"/>
                <w:sz w:val="20"/>
                <w:szCs w:val="20"/>
              </w:rPr>
              <w:t>åliggande</w:t>
            </w:r>
            <w:proofErr w:type="gramEnd"/>
            <w:r w:rsidRPr="00FE4E11">
              <w:rPr>
                <w:rFonts w:ascii="Times New Roman" w:hAnsi="Times New Roman" w:cs="Times New Roman"/>
                <w:color w:val="000000"/>
                <w:sz w:val="20"/>
                <w:szCs w:val="20"/>
              </w:rPr>
              <w:t xml:space="preserve">.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F.3 De säkerhetsrelaterade ansvarsområdena och ansvarsfördelningen för specifika tillhörande funktioner, tillsammans med deras avgränsning, är klart definierade.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F.4 Det finns ett förfarande för att säkerställa att säkerhetsuppgifterna är klart definierade och delegerade till personal med lämplig kompetens.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G. SÄKRING AV LEDNINGENS KONTROLL PÅ OLIKA NIVÅER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G.1 Det finns en beskrivning av hur ansvaret fördelas för varje säkerhetsrelaterad process i hela organisationen.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G.2 Det finns ett förfarande för regelmässig kontroll av hur uppgifterna utförs och som säkerställs av linjeledningen, vilken måste ingripa om uppgifterna inte utförs på rätt sätt.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G.3 Det finns förfaranden för att identifiera och hantera andra ledningsaktiviteters påverkan på säkerhetsstyrningssystemet.</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G.4 Det finns förfaranden så att de personer som är involverade i säkerhetsstyrningen omfattas av ett resultatansvar.</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G.5 Det finns förfaranden för att fördela lämpliga resurser i syfte att tillhandahålla säkerhetsuppgifter i säkerhetsstyrningssystemet.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H. HUR PERSONAL OCH DERAS FÖRETRÄDARE PÅ ALLA NIVÅER BERÖRS</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H.1 Det finns förfaranden för att säkerställa att personal och personalrepresentanter företräds på lämpligt sätt samt konsulteras när det handlar om att fastställa, föreslå, se över och utveckla säkerhetsaspekterna av operationella förfaranden som kan komma att beröra personal.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H.2 Personalengagemang och samrådsåtgärder finns dokumenterat.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lastRenderedPageBreak/>
              <w:t xml:space="preserve">I. SÄKERSTÄLLANDE AV KONTINUERLIG FÖRBÄTTRING </w:t>
            </w:r>
          </w:p>
        </w:tc>
      </w:tr>
      <w:tr w:rsidR="00CD66AE" w:rsidRPr="00FE4E11" w:rsidTr="00FD2A49">
        <w:tc>
          <w:tcPr>
            <w:tcW w:w="9073" w:type="dxa"/>
            <w:gridSpan w:val="2"/>
          </w:tcPr>
          <w:p w:rsidR="00CD66AE" w:rsidRPr="00FE4E11" w:rsidRDefault="00CD66A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Det finns förfaranden för att, i den mån detta är rimligen genomförbart, säkerställa en kontinuerlig förbättring av säkerhetsstyrningssystemet. Dessa ska omfatta följande: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 Förfaranden för regelbundna översyner av säkerhetsstyrningssystemet, enligt vad som anses nödvändigt.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 Förfaranden för att beskriva åtgärder för att kontrollera och analysera relevanta säkerhetsdata.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c) Förfaranden för att beskriva hur fastställda fel ska rättas till.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d) Förfaranden för att ange hur nya säkerhetsstyrningsregler genomförs baserat på utveckling och gjorda erfarenheter.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e) Förfaranden för att beskriva hur resultat från de interna revisionerna används för att förbättra säkerhetsstyrningssystemet.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J. SÄKERHETSPOLITIK SOM GODKÄNTS AV ORGANISATIONENS CHEF OCH MEDDELATS ALL PERSONAL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Det finns ett dokument som beskriver organisationens säkerhetspolitik och som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 har meddelats och är tillgänglig för all personal, t.ex. via organisationens intranät,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 är lämplig sett till trafikens typ och omfattning,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c) är godkänd av organisationens chef.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K. ORGANISATIONENS KVALITATIVA OCH KVANTITATIVA MÅL FÖR UPPRÄTTHÅLLANDE OCH FÖRBÄTTRING AV SÄKERHET SAMT PLANER OCH FÖRFARANDEN FÖR UPPNÅENDET AV DESSA MÅL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K.1 Det finns förfaranden för att fastställa relevanta säkerhetsmål i linje med det rättsliga regelverket, och det finns ett dokument i vilket dessa mål anges.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K.2 Det finns förfaranden för att fastställa relevanta säkerhetsmål som överensstämmer med den aktuella järnvägsdriften och relevanta risker.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K.3 Det finns förfaranden för att regelbundet bedöma den övergripande säkerhetsnivån i förhållande till organisationens säkerhetsmål och de mål som har fastställts på medlemsstatsnivå.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983D80" w:rsidRPr="00FE4E11" w:rsidTr="00FD2A49">
        <w:tc>
          <w:tcPr>
            <w:tcW w:w="9073" w:type="dxa"/>
            <w:gridSpan w:val="2"/>
          </w:tcPr>
          <w:p w:rsidR="00983D80" w:rsidRPr="00FE4E11" w:rsidRDefault="00983D80"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K.4 Det finns förfaranden för att regelbundet övervaka och granska driftsrutiner genom att</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 sammanställa relevanta säkerhetsdata för att fastställa trender när det gäller säkerhetsnivån och bedöma hur målen uppfylls,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 tolka relevanta data och genomföra nödvändiga förändringar.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K.5 Järnvägsföretaget har förfaranden för att utveckla planer och förfaranden i syfte att uppnå sina mål.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L. FÖRFARANDEN FÖR ATT UPPFYLLA BEFINTLIGA, NYA OCH ÄNDRADE TEKNISKA OCH OPERATIVA NORMER ELLER ANDRA FÖRESKRIFTER </w:t>
            </w:r>
          </w:p>
        </w:tc>
      </w:tr>
      <w:tr w:rsidR="00983D80" w:rsidRPr="00FE4E11" w:rsidTr="00FD2A49">
        <w:tc>
          <w:tcPr>
            <w:tcW w:w="9073" w:type="dxa"/>
            <w:gridSpan w:val="2"/>
          </w:tcPr>
          <w:p w:rsidR="00983D80" w:rsidRPr="00FE4E11" w:rsidRDefault="00983D80"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lastRenderedPageBreak/>
              <w:t xml:space="preserve">L.1 Det finns förfaranden för säkerhetsrelaterade krav, som är relevanta för trafikens typ och omfattning, för att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 identifiera dessa krav och uppdatera relevanta förfaranden i syfte att återspegla förändringar av dem (ändringshantering),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 genomföra dem,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c) kontrollera överensstämmelsen med dem,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d) vidta åtgärder om bristande överensstämmelse identifieras.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L.2 Det finns förfaranden för att säkerställa att rätt personal, förfaranden, specifika handlingar, utrustning och rullande materiel används för avsett syfte.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L.3 Säkerhetsstyrningssystemet har förfaranden för att säkerställa att underhåll utförs enligt tillämpliga krav.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M. FÖRFARANDEN OCH METODER FÖR UTFÖRANDE AV RISKBEDÖMNING OCH GENOMFÖRANDE AV ÅTGÄRDER FÖR RISKHANTERING NÄRHELST EN ÄNDRING AV DRIFTSFÖRHÅLLANDENA ELLER NYTT MATERIAL MEDFÖR NYA RISKER FÖR INFRASTRUKTURER ELLER VERKSAMHETER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M.1 Det finns förfaranden för att hantera ändringar av utrustning, förfaranden, organisation, bemanning eller samspel.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A13AC0">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M.2 Det finns riskbedömningsförfaranden för att hantera ändringar och tillämpa den gemensamma säkerhetsmetoden för riskvärdering och riskbedömning som avses i kommissionens förordning (EG) nr </w:t>
            </w:r>
            <w:r w:rsidR="00A13AC0">
              <w:rPr>
                <w:rFonts w:ascii="Times New Roman" w:hAnsi="Times New Roman" w:cs="Times New Roman"/>
                <w:color w:val="000000"/>
                <w:sz w:val="20"/>
                <w:szCs w:val="20"/>
              </w:rPr>
              <w:t>402</w:t>
            </w:r>
            <w:r w:rsidRPr="00FE4E11">
              <w:rPr>
                <w:rFonts w:ascii="Times New Roman" w:hAnsi="Times New Roman" w:cs="Times New Roman"/>
                <w:color w:val="000000"/>
                <w:sz w:val="20"/>
                <w:szCs w:val="20"/>
              </w:rPr>
              <w:t>/20</w:t>
            </w:r>
            <w:r w:rsidR="00A13AC0">
              <w:rPr>
                <w:rFonts w:ascii="Times New Roman" w:hAnsi="Times New Roman" w:cs="Times New Roman"/>
                <w:color w:val="000000"/>
                <w:sz w:val="20"/>
                <w:szCs w:val="20"/>
              </w:rPr>
              <w:t>13</w:t>
            </w:r>
            <w:r w:rsidRPr="00FE4E11">
              <w:rPr>
                <w:rFonts w:ascii="Times New Roman" w:hAnsi="Times New Roman" w:cs="Times New Roman"/>
                <w:color w:val="000000"/>
                <w:sz w:val="20"/>
                <w:szCs w:val="20"/>
              </w:rPr>
              <w:t xml:space="preserve"> när så krävs.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M.3 Järnvägsföretaget har förfaranden för att förmedla riskbedömningens resultat till andra processer inom organisationen och göra dem synliga för relevant personal.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N. TILLHANDAHÅLLANDE AV PROGRAM FÖR UTBILDNING AV PERSONAL OCH SYSTEM FÖR SÄKERSTÄLLANDE AV ATT PERSONALENS KOMPETENS </w:t>
            </w:r>
            <w:proofErr w:type="gramStart"/>
            <w:r w:rsidRPr="00FE4E11">
              <w:rPr>
                <w:rFonts w:ascii="Times New Roman" w:hAnsi="Times New Roman" w:cs="Times New Roman"/>
                <w:color w:val="000000"/>
                <w:sz w:val="20"/>
                <w:szCs w:val="20"/>
              </w:rPr>
              <w:t>BIBEHÅLLS</w:t>
            </w:r>
            <w:proofErr w:type="gramEnd"/>
            <w:r w:rsidRPr="00FE4E11">
              <w:rPr>
                <w:rFonts w:ascii="Times New Roman" w:hAnsi="Times New Roman" w:cs="Times New Roman"/>
                <w:color w:val="000000"/>
                <w:sz w:val="20"/>
                <w:szCs w:val="20"/>
              </w:rPr>
              <w:t xml:space="preserve"> OCH ATT UPPGIFTERNA UTFÖRS I ENLIGHET DÄRMED </w:t>
            </w:r>
          </w:p>
        </w:tc>
      </w:tr>
      <w:tr w:rsidR="00C66E70" w:rsidRPr="00FE4E11" w:rsidTr="00FD2A49">
        <w:tc>
          <w:tcPr>
            <w:tcW w:w="9073" w:type="dxa"/>
            <w:gridSpan w:val="2"/>
          </w:tcPr>
          <w:p w:rsidR="00C66E70" w:rsidRPr="00FE4E11" w:rsidRDefault="00C66E70"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N.1 Det finns ett kompetensstyrningssystem som åtminstone omfattar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 identifiering av vilken kunskap och vilka färdigheter som krävs för de säkerhetsrelaterade uppgifterna,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 urvalsprinciper (krav på grundläggande utbildningsnivå, psykisk och fysisk lämplighet),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c) grundläggande utbildning samt certifiering av förvärvade kunskaper och färdigheter,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d) fortlöpande utbildning och regelbunden uppdatering av befintliga kunskaper och färdigheter,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e) regelbundna kompetenskontroller, efter behov,</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f) särskilda åtgärder vid olyckor/tillbud eller lång arbetsfrånvaro, efter behov eller i förekommande fall,</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g) särskild utbildning i säkerhetsstyrningssystemet för personal som arbetar med att säkerställa att säkerhetsstyrningssystemet fungerar.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C66E70" w:rsidRPr="00FE4E11" w:rsidTr="00FD2A49">
        <w:tc>
          <w:tcPr>
            <w:tcW w:w="9073" w:type="dxa"/>
            <w:gridSpan w:val="2"/>
          </w:tcPr>
          <w:p w:rsidR="00C66E70" w:rsidRPr="00FE4E11" w:rsidRDefault="00C66E70"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N.2 Det finns förfaranden inom ramen för kompetensstyrningssystemet som gör det möjligt att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 identifiera vilka befattningar som utför säkerhetskritiska uppgifter,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 identifiera vilka befattningar som har ansvar för att fatta driftsrelaterade beslut inom säkerhetsstyrningssystemet,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c) ge personalen den kompetens, de färdigheter och den (medicinska respektive psykologiska) lämplighet som krävs för de relevanta uppgifterna och regelbundet repetera/uppdatera dessa,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d) tilldela personal med kompetens som är lämplig för de relevanta uppgifterna,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e) övervaka hur uppgifterna utförs och införa korrigerande åtgärder när detta krävs.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O. ARRANGEMANG FÖR TILLHANDAHÅLLANDE AV TILLRÄCKLIG INFORMATION INOM ORGANISATIONEN OCH, I TILLÄMPLIGA FALL, MELLAN ORGANISATIONER SOM ÄR VERKSAMMA INOM SAMMA INFRASTRUKTUR </w:t>
            </w:r>
          </w:p>
        </w:tc>
      </w:tr>
      <w:tr w:rsidR="00C66E70" w:rsidRPr="00FE4E11" w:rsidTr="00FD2A49">
        <w:tc>
          <w:tcPr>
            <w:tcW w:w="9073" w:type="dxa"/>
            <w:gridSpan w:val="2"/>
          </w:tcPr>
          <w:p w:rsidR="00C66E70" w:rsidRPr="00FE4E11" w:rsidRDefault="00C66E70"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O.1 Det finns förfaranden för att säkerställa att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 personalen har kunskap och kännedom om säkerhetsstyrningssystemet och information som är lättillgänglig,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 lämplig dokumentation om säkerhetsstyrningssystemet ges till den säkerhetspersonal som berörs.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C66E70" w:rsidRPr="00FE4E11" w:rsidTr="00FD2A49">
        <w:tc>
          <w:tcPr>
            <w:tcW w:w="9073" w:type="dxa"/>
            <w:gridSpan w:val="2"/>
          </w:tcPr>
          <w:p w:rsidR="00C66E70" w:rsidRPr="00FE4E11" w:rsidRDefault="00C66E70"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O.2 Det finns förfaranden för att säkerställa att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 viktig driftsrelaterad information är relevant och giltig,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 personalen är medveten om dess existens innan den tillämpas,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c) informationen finns tillgänglig för personalen och att kopior delas ut formellt när detta krävs.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O.3 Åtgärder har vidtagits för informationsutbytet mellan järnvägsorganisationerna.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P. FÖRFARANDEN OCH FORMAT FÖR HUR SÄKERHETSINFORMATION SKA DOKUMENTERAS OCH UTARBETANDE AV ETT FÖRFARANDE FÖR KONFIGURATIONSKONTROLL AV VITAL SÄKERHETSINFORMATION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P.1 Det finns förfaranden för att säkerställa att all relevant säkerhetsinformation är korrekt, fullständig, överensstämmande, lätt att förstå, uppdaterad på lämpligt sätt och vederbörligt dokumenterad.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C66E70" w:rsidRPr="00FE4E11" w:rsidTr="00FD2A49">
        <w:tc>
          <w:tcPr>
            <w:tcW w:w="9073" w:type="dxa"/>
            <w:gridSpan w:val="2"/>
          </w:tcPr>
          <w:p w:rsidR="00C66E70" w:rsidRPr="00FE4E11" w:rsidRDefault="00C66E70"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P.2 Det finns förfaranden för att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 utforma, generera, distribuera och hantera ändringskontrollen i all relevant säkerhetsdokumentation,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 ta emot, samla in och lagra all relevant dokumentation/information på papper eller genom andra registreringssystem.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P.3 Det finns ett förfarande för konfigurationskontroll av vital säkerhetsinformation.</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Q. FÖRFARANDEN FÖR ATT SÄKERSTÄLLA ATT OLYCKOR, TILLBUD OCH HÄNDELSER SOM KUNDE HA LETT TILL OLYCKOR OCH ANDRA FARLIGA HÄNDELSER RAPPORTERAS, UTREDS OCH ANALYSERAS OCH ATT NÖDVÄNDIGA FÖREBYGGANDE ÅTGÄRDER VIDTAS</w:t>
            </w:r>
          </w:p>
        </w:tc>
      </w:tr>
      <w:tr w:rsidR="00C66E70" w:rsidRPr="00FE4E11" w:rsidTr="00FD2A49">
        <w:tc>
          <w:tcPr>
            <w:tcW w:w="9073" w:type="dxa"/>
            <w:gridSpan w:val="2"/>
          </w:tcPr>
          <w:p w:rsidR="00C66E70" w:rsidRPr="00FE4E11" w:rsidRDefault="00C66E70"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Q.1 Det finns förfaranden för att säkerställa att olyckor, tillbud, händelser som kunde ha lett till olyckor och andra farliga händelser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 rapporteras, registreras, utreds och analyseras,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 rapporteras till de nationella organen i enlighet med bestämmelserna i tillämplig lagstiftning.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C66E70" w:rsidRPr="00FE4E11" w:rsidTr="00FD2A49">
        <w:tc>
          <w:tcPr>
            <w:tcW w:w="9073" w:type="dxa"/>
            <w:gridSpan w:val="2"/>
          </w:tcPr>
          <w:p w:rsidR="00C66E70" w:rsidRPr="00FE4E11" w:rsidRDefault="00C66E70"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Q.2 Det finns förfaranden för att säkerställa att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 rekommendationerna från de nationella säkerhetsmyndigheterna, nätverket av undersökningsorgan, branschvisa/ interna utredningar utvärderas och genomförs om detta är tillämpligt eller </w:t>
            </w:r>
            <w:proofErr w:type="gramStart"/>
            <w:r w:rsidRPr="00FE4E11">
              <w:rPr>
                <w:rFonts w:ascii="Times New Roman" w:hAnsi="Times New Roman" w:cs="Times New Roman"/>
                <w:color w:val="000000"/>
                <w:sz w:val="20"/>
                <w:szCs w:val="20"/>
              </w:rPr>
              <w:t>förordnas</w:t>
            </w:r>
            <w:proofErr w:type="gramEnd"/>
            <w:r w:rsidRPr="00FE4E11">
              <w:rPr>
                <w:rFonts w:ascii="Times New Roman" w:hAnsi="Times New Roman" w:cs="Times New Roman"/>
                <w:color w:val="000000"/>
                <w:sz w:val="20"/>
                <w:szCs w:val="20"/>
              </w:rPr>
              <w:t xml:space="preserve">,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 relevanta rapporter/uppgifter från andra järnvägsföretag, infrastrukturförvaltare, underhållsansvariga enheter och järnvägsfordonsinnehavare övervägs och beaktas.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Q.3 Det finns förfaranden för att relevant information gällande utredning och orsaker till olyckor, tillbud, händelser som kunde ha lett till olyckor och andra farliga händelser används för att fastställa och anta korrigerande åtgärder.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R. TILLHANDAHÅLLANDE AV SÅDANA LARMRUTINER SAMT SÅDAN INFORMATION I NÖDSITUATIONER SOM HAR GODKÄNTS AV DE TILLÄMPLIGA OFFENTLIGA MYNDIGHETERNA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R.1 Det finns ett dokument i vilket alla typer av nödsituationer, inklusive drift vid störning, identifieras och det finns förfaranden för att identifiera nya sådana.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C66E70" w:rsidRPr="00FE4E11" w:rsidTr="00FD2A49">
        <w:tc>
          <w:tcPr>
            <w:tcW w:w="9073" w:type="dxa"/>
            <w:gridSpan w:val="2"/>
          </w:tcPr>
          <w:p w:rsidR="00C66E70" w:rsidRPr="00FE4E11" w:rsidRDefault="00C66E70"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R.2 Det finns förfaranden, för varje identifierad typ av nödsituation, för att säkerställa att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 larmtjänster omgående kan kontaktas,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 larmtjänsterna får all relevant information, både i förväg, med tanke på förberedelserna inför larmutryckningen och vid själva nödsituationen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R.3 Roller och ansvarsområden för alla parter identifieras och anges i ett dokument.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C66E70" w:rsidRPr="00FE4E11" w:rsidTr="00FD2A49">
        <w:tc>
          <w:tcPr>
            <w:tcW w:w="9073" w:type="dxa"/>
            <w:gridSpan w:val="2"/>
          </w:tcPr>
          <w:p w:rsidR="00C66E70" w:rsidRPr="00FE4E11" w:rsidRDefault="00C66E70"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R.4 Det finns planer för larmrutiner och information som omfattar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 förfaranden för att larma all personal med ansvar för hantering av nödsituationer,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 åtgärder för att sprida dessa till samtliga parter, inklusive passagerarinstruktionerna för nödsituationer,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c) åtgärder för att kontakta behörig personal omgående så att de kan fatta de beslut som krävs.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R.5 Det finns ett dokument som beskriver hur resurser och medel har fördelats och hur utbildningskrav har identifierats.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R.6 Det finns förfaranden för att återupprätta normala driftförhållanden så snart som möjligt.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R.7 Det finns förfaranden för att i samarbete med andra parter testa katastrofplanerna i syfte att utbilda personalen, pröva rutinerna, identifiera svaga punkter och kontrollera hur potentiella nödsituationer hanteras.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R.8 Det finns förfaranden för att säkerställa att behörig personal eller ansvarig person (särskilt när det gäller trafik med farligt gods), som har lämpliga språkkunskaper, kan kontaktas enkelt och utan dröjsmål.</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R.9 Det finns ett förfarande för att kontakta den underhållsansvariga enheten eller järnvägsfordonsinnehavaren vid en nödsituation.</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S. BESTÄMMELSER OM ÅTERKOMMANDE INTERN REVISION AV SÄKERHETSSTYRNINGSSYSTEM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S.1 Det finns ett internt revisionssystem som är oberoende, opartiskt och följer ett genomblickbart förfarande.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S.2 Det finns en tidsplan över planerade interna revisioner, som kan ses över med hänsyn till resultaten från tidigare revisioner och effektivitetskontroller.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S.3 Det finns förfaranden för att identifiera och välja ut revisorer med lämplig kompetens.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C66E70" w:rsidRPr="00FE4E11" w:rsidTr="00FD2A49">
        <w:tc>
          <w:tcPr>
            <w:tcW w:w="9073" w:type="dxa"/>
            <w:gridSpan w:val="2"/>
          </w:tcPr>
          <w:p w:rsidR="00C66E70" w:rsidRPr="00FE4E11" w:rsidRDefault="00C66E70"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S.4 Det finns förfaranden för att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 analysera och utvärdera revisionsresultaten,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 föreslå uppföljningsåtgärder,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c) följa upp åtgärdernas effektivitet,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d) dokumentera utförandet och resultatet av revisionerna.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S.5 Det finns förfaranden för att säkerställa att företagsledningen har kännedom om revisionsresultaten och tar ett övergripande ansvar för att det görs förändringar inom säkerhetsstyrningssystemet.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S.6 Det finns ett dokument som visar hur revisionsprocessen är planerad i förhållande till rutinåtgärderna för att säkerställa överensstämmelsen med interna förfaranden och normer.</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bl>
    <w:p w:rsidR="00FD2A49" w:rsidRDefault="00FD2A49">
      <w:r>
        <w:br w:type="page"/>
      </w:r>
    </w:p>
    <w:tbl>
      <w:tblPr>
        <w:tblStyle w:val="Tabellrutnt"/>
        <w:tblW w:w="9073" w:type="dxa"/>
        <w:tblInd w:w="-743" w:type="dxa"/>
        <w:tblLook w:val="04A0"/>
      </w:tblPr>
      <w:tblGrid>
        <w:gridCol w:w="4537"/>
        <w:gridCol w:w="4536"/>
      </w:tblGrid>
      <w:tr w:rsidR="00AA599E" w:rsidRPr="00FE4E11" w:rsidTr="00FD2A49">
        <w:tc>
          <w:tcPr>
            <w:tcW w:w="9073" w:type="dxa"/>
            <w:gridSpan w:val="2"/>
            <w:shd w:val="clear" w:color="auto" w:fill="D9D9D9" w:themeFill="background1" w:themeFillShade="D9"/>
          </w:tcPr>
          <w:p w:rsidR="00AA599E" w:rsidRPr="00FE4E11" w:rsidRDefault="00AA599E" w:rsidP="001057C6">
            <w:pPr>
              <w:pStyle w:val="CM4"/>
              <w:spacing w:before="60" w:after="60"/>
              <w:rPr>
                <w:rFonts w:ascii="Times New Roman" w:hAnsi="Times New Roman" w:cs="Times New Roman"/>
                <w:color w:val="000000"/>
                <w:sz w:val="20"/>
                <w:szCs w:val="20"/>
              </w:rPr>
            </w:pPr>
            <w:r w:rsidRPr="00FE1472">
              <w:rPr>
                <w:rFonts w:ascii="Times New Roman" w:hAnsi="Times New Roman" w:cs="Times New Roman"/>
                <w:color w:val="000000"/>
                <w:sz w:val="24"/>
                <w:szCs w:val="20"/>
              </w:rPr>
              <w:t>Bilaga III</w:t>
            </w:r>
            <w:r w:rsidR="00C72AB8">
              <w:rPr>
                <w:rFonts w:ascii="Times New Roman" w:hAnsi="Times New Roman" w:cs="Times New Roman"/>
                <w:color w:val="000000"/>
                <w:sz w:val="24"/>
                <w:szCs w:val="20"/>
              </w:rPr>
              <w:t xml:space="preserve"> </w:t>
            </w:r>
            <w:r w:rsidR="00C72AB8">
              <w:rPr>
                <w:rFonts w:cs="Times New Roman"/>
                <w:color w:val="000000"/>
                <w:sz w:val="24"/>
                <w:szCs w:val="20"/>
              </w:rPr>
              <w:t>Säkerhetsintyg del B</w:t>
            </w: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 ÖVERENSSTÄMMELSE MED NÄTSPECIFIKA REGLER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A.1 Det finns dokument innehållande resultat som visar att hänsyn har tagits till specifika regler och specifika risker som hör samman med trafiken som bedrivs i det järnvägsnät som ansökan för del B gäller och för att visa att järnvägsföretaget kan uppfylla alla nätspecifika regler och alla undantag för eller avvikelser från dessa regler.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A.2 Nätkontaktpunkterna med andra parter som deltar i järnvägsdriften på järnvägsnätet i fråga har identifierats.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A.3 Det finns dokument som visar hur järnvägsföretaget kommer att interagera med järnvägsnätets infrastrukturförvaltare och andra järnvägsföretag som bedriver trafik i järnvägsnätet, inklusive uppgifter om hur informationsutbytet ska ske.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A.4 Det finns dokument som visar hur järnvägsföretaget kommer att hantera nödsituationer, inklusive samspelet med infrastrukturförvaltaren och behöriga offentliga myndigheter.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A.5 Det finns dokument som anger specifika regler för utredning av olyckor och tillbud och som visar att den sökande kan följa dem.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 ÖVERENSSTÄMMELSE MED NÄTSPECIFIKA KRAV GÄLLANDE PERSONALENS KOMPETENS </w:t>
            </w:r>
          </w:p>
        </w:tc>
      </w:tr>
      <w:tr w:rsidR="00C66E70" w:rsidRPr="00FE4E11" w:rsidTr="00FD2A49">
        <w:tc>
          <w:tcPr>
            <w:tcW w:w="9073" w:type="dxa"/>
            <w:gridSpan w:val="2"/>
          </w:tcPr>
          <w:p w:rsidR="00C66E70" w:rsidRPr="00FE4E11" w:rsidRDefault="00C66E70"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B.1 Dokumentationen visar att den sökandes säkerhetsstyrningssystem innehåller ett kompetensstyrningssystem för att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a) identifiera de personalkategorier (anställda eller anlitade) som ingår i den verksamhet som bedrivs,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 tillhandahålla behörig personal för järnvägsnätet i fråga, särskilt den personal som ska utföra en rad olika uppgifter och garantera att certifiering innehas i förekommande fall.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B.2 Dokumentationen visar att det har vidtagits åtgärder för att organisera personalens dagliga arbete för att säkerställa att säkerhetsrelaterade uppgifter utförs och att personal har utsetts för att utföra lämpliga uppgifter.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B.3 Dokumentationen demonstrerar den sökandes förmåga att ta fram dokument som ska användas vid utbildning av behörig personal och dess förmåga att säkerställa att dokumenten är korrekta, uppdateras regelbundet och är skrivna på ett språk och med en terminologi som den personal som måste använda dem förstår.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9073" w:type="dxa"/>
            <w:gridSpan w:val="2"/>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C. ÖVERENSSTÄMMELSE MED NÄTSPECIFIKA KRAV GÄLLANDE HANTERING AV RULLANDE MATERIEL </w:t>
            </w: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C.1 I dokumentationen anges tydligt typen av rullande materiel som ska användas i det specifika järnvägsnätet och vilken typ av drift som ska utföras.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 xml:space="preserve">C.2 I dokumentationen anges hur järnvägsföretaget uppfyller eventuella driftsbegränsningar som gäller den typ av rullande materiel som används i järnvägsnätet. </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C.3 I dokumentationen anges ytterligare underhållskrav för järnvägsnätet i fråga och det finns lämpliga underhållsförfaranden.</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r w:rsidR="00AA599E" w:rsidRPr="00FE4E11" w:rsidTr="00FD2A49">
        <w:tc>
          <w:tcPr>
            <w:tcW w:w="4537" w:type="dxa"/>
          </w:tcPr>
          <w:p w:rsidR="00AA599E" w:rsidRPr="00FE4E11" w:rsidRDefault="00AA599E" w:rsidP="00C93A91">
            <w:pPr>
              <w:pStyle w:val="CM4"/>
              <w:spacing w:before="60" w:after="60"/>
              <w:rPr>
                <w:rFonts w:ascii="Times New Roman" w:hAnsi="Times New Roman" w:cs="Times New Roman"/>
                <w:color w:val="000000"/>
                <w:sz w:val="20"/>
                <w:szCs w:val="20"/>
              </w:rPr>
            </w:pPr>
            <w:r w:rsidRPr="00FE4E11">
              <w:rPr>
                <w:rFonts w:ascii="Times New Roman" w:hAnsi="Times New Roman" w:cs="Times New Roman"/>
                <w:color w:val="000000"/>
                <w:sz w:val="20"/>
                <w:szCs w:val="20"/>
              </w:rPr>
              <w:t>C.4 I dokumentationen anges ytterligare krav för att hantera tillbud med rullande materiel för järnvägsnätet i fråga och det finns lämpliga förfaranden för att hantera dessa.</w:t>
            </w:r>
          </w:p>
        </w:tc>
        <w:tc>
          <w:tcPr>
            <w:tcW w:w="4536" w:type="dxa"/>
          </w:tcPr>
          <w:p w:rsidR="00AA599E" w:rsidRPr="00FE4E11" w:rsidRDefault="00AA599E" w:rsidP="00C93A91">
            <w:pPr>
              <w:pStyle w:val="CM4"/>
              <w:spacing w:before="60" w:after="60"/>
              <w:rPr>
                <w:rFonts w:ascii="Times New Roman" w:hAnsi="Times New Roman" w:cs="Times New Roman"/>
                <w:color w:val="000000"/>
                <w:sz w:val="20"/>
                <w:szCs w:val="20"/>
              </w:rPr>
            </w:pPr>
          </w:p>
        </w:tc>
      </w:tr>
    </w:tbl>
    <w:p w:rsidR="00AA599E" w:rsidRPr="00C93BA5" w:rsidRDefault="00AA599E" w:rsidP="00C93BA5">
      <w:pPr>
        <w:pStyle w:val="Brdtext"/>
      </w:pPr>
    </w:p>
    <w:sectPr w:rsidR="00AA599E" w:rsidRPr="00C93BA5" w:rsidSect="00FD2A49">
      <w:headerReference w:type="even" r:id="rId8"/>
      <w:headerReference w:type="default" r:id="rId9"/>
      <w:footerReference w:type="even" r:id="rId10"/>
      <w:footerReference w:type="default" r:id="rId11"/>
      <w:headerReference w:type="first" r:id="rId12"/>
      <w:footerReference w:type="first" r:id="rId13"/>
      <w:pgSz w:w="11906" w:h="16838"/>
      <w:pgMar w:top="1701" w:right="2268" w:bottom="1560" w:left="2268" w:header="56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13C" w:rsidRDefault="00B2313C" w:rsidP="00F12B44">
      <w:r>
        <w:separator/>
      </w:r>
    </w:p>
  </w:endnote>
  <w:endnote w:type="continuationSeparator" w:id="0">
    <w:p w:rsidR="00B2313C" w:rsidRDefault="00B2313C" w:rsidP="00F12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ED" w:rsidRDefault="001444ED">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1460"/>
      <w:docPartObj>
        <w:docPartGallery w:val="Page Numbers (Top of Page)"/>
        <w:docPartUnique/>
      </w:docPartObj>
    </w:sdtPr>
    <w:sdtContent>
      <w:p w:rsidR="00FD2A49" w:rsidRDefault="00443F94" w:rsidP="00FD2A49">
        <w:pPr>
          <w:pStyle w:val="Sidfot"/>
          <w:jc w:val="center"/>
        </w:pPr>
        <w:fldSimple w:instr="PAGE">
          <w:r w:rsidR="000F6D1E">
            <w:rPr>
              <w:noProof/>
            </w:rPr>
            <w:t>4</w:t>
          </w:r>
        </w:fldSimple>
        <w:r w:rsidR="00FD2A49" w:rsidRPr="00FD2A49">
          <w:rPr>
            <w:sz w:val="24"/>
            <w:szCs w:val="24"/>
          </w:rPr>
          <w:t>(</w:t>
        </w:r>
        <w:fldSimple w:instr="NUMPAGES">
          <w:r w:rsidR="000F6D1E">
            <w:rPr>
              <w:noProof/>
            </w:rPr>
            <w:t>4</w:t>
          </w:r>
        </w:fldSimple>
        <w:r w:rsidR="00FD2A49" w:rsidRPr="00FD2A49">
          <w:rPr>
            <w:sz w:val="24"/>
            <w:szCs w:val="24"/>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1396"/>
      <w:docPartObj>
        <w:docPartGallery w:val="Page Numbers (Bottom of Page)"/>
        <w:docPartUnique/>
      </w:docPartObj>
    </w:sdtPr>
    <w:sdtContent>
      <w:sdt>
        <w:sdtPr>
          <w:id w:val="97552763"/>
          <w:docPartObj>
            <w:docPartGallery w:val="Page Numbers (Top of Page)"/>
            <w:docPartUnique/>
          </w:docPartObj>
        </w:sdtPr>
        <w:sdtContent>
          <w:p w:rsidR="00FD2A49" w:rsidRDefault="00443F94">
            <w:pPr>
              <w:pStyle w:val="Sidfot"/>
              <w:jc w:val="center"/>
            </w:pPr>
            <w:fldSimple w:instr="PAGE">
              <w:r w:rsidR="000F6D1E">
                <w:rPr>
                  <w:noProof/>
                </w:rPr>
                <w:t>1</w:t>
              </w:r>
            </w:fldSimple>
            <w:r w:rsidR="00FD2A49" w:rsidRPr="001444ED">
              <w:rPr>
                <w:sz w:val="24"/>
                <w:szCs w:val="24"/>
              </w:rPr>
              <w:t>(</w:t>
            </w:r>
            <w:fldSimple w:instr="NUMPAGES">
              <w:r w:rsidR="000F6D1E">
                <w:rPr>
                  <w:noProof/>
                </w:rPr>
                <w:t>1</w:t>
              </w:r>
            </w:fldSimple>
            <w:r w:rsidR="00FD2A49" w:rsidRPr="001444ED">
              <w:rPr>
                <w:sz w:val="24"/>
                <w:szCs w:val="24"/>
              </w:rPr>
              <w:t>)</w:t>
            </w:r>
          </w:p>
        </w:sdtContent>
      </w:sdt>
    </w:sdtContent>
  </w:sdt>
  <w:p w:rsidR="00FD2A49" w:rsidRDefault="00FD2A4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13C" w:rsidRDefault="00B2313C" w:rsidP="00F12B44">
      <w:r>
        <w:separator/>
      </w:r>
    </w:p>
  </w:footnote>
  <w:footnote w:type="continuationSeparator" w:id="0">
    <w:p w:rsidR="00B2313C" w:rsidRDefault="00B2313C" w:rsidP="00F12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ED" w:rsidRDefault="001444ED">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ED" w:rsidRDefault="001444ED" w:rsidP="00FD2A49">
    <w:pPr>
      <w:pStyle w:val="Brdtext"/>
      <w:jc w:val="center"/>
      <w:rPr>
        <w:b/>
      </w:rPr>
    </w:pPr>
  </w:p>
  <w:p w:rsidR="00FD2A49" w:rsidRDefault="00FD2A49" w:rsidP="00FD2A49">
    <w:pPr>
      <w:pStyle w:val="Brdtext"/>
      <w:jc w:val="center"/>
      <w:rPr>
        <w:b/>
      </w:rPr>
    </w:pPr>
    <w:r w:rsidRPr="00AA599E">
      <w:rPr>
        <w:b/>
      </w:rPr>
      <w:t>Korsreferenslista</w:t>
    </w:r>
  </w:p>
  <w:p w:rsidR="00FD2A49" w:rsidRDefault="00FD2A49">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A49" w:rsidRDefault="00FD2A49" w:rsidP="00FD2A49">
    <w:pPr>
      <w:pStyle w:val="Brdtext"/>
      <w:jc w:val="center"/>
      <w:rPr>
        <w:b/>
      </w:rPr>
    </w:pPr>
  </w:p>
  <w:p w:rsidR="00FD2A49" w:rsidRDefault="00FD2A49" w:rsidP="00FD2A49">
    <w:pPr>
      <w:pStyle w:val="Brdtext"/>
      <w:jc w:val="center"/>
      <w:rPr>
        <w:b/>
      </w:rPr>
    </w:pPr>
    <w:r w:rsidRPr="00AA599E">
      <w:rPr>
        <w:b/>
      </w:rPr>
      <w:t>Korsreferenslista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DB2FDD4"/>
    <w:lvl w:ilvl="0">
      <w:start w:val="1"/>
      <w:numFmt w:val="decimal"/>
      <w:lvlText w:val="%1."/>
      <w:lvlJc w:val="left"/>
      <w:pPr>
        <w:tabs>
          <w:tab w:val="num" w:pos="360"/>
        </w:tabs>
        <w:ind w:left="360" w:hanging="360"/>
      </w:pPr>
    </w:lvl>
  </w:abstractNum>
  <w:abstractNum w:abstractNumId="1">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1021"/>
  <w:stylePaneSortMethod w:val="0000"/>
  <w:defaultTabStop w:val="1304"/>
  <w:hyphenationZone w:val="425"/>
  <w:drawingGridHorizontalSpacing w:val="12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755DDE"/>
    <w:rsid w:val="0001451F"/>
    <w:rsid w:val="000355F2"/>
    <w:rsid w:val="00044692"/>
    <w:rsid w:val="00047802"/>
    <w:rsid w:val="000B158A"/>
    <w:rsid w:val="000F6D1E"/>
    <w:rsid w:val="001057C6"/>
    <w:rsid w:val="0013294C"/>
    <w:rsid w:val="001444ED"/>
    <w:rsid w:val="001576E9"/>
    <w:rsid w:val="001629B8"/>
    <w:rsid w:val="001631C1"/>
    <w:rsid w:val="001B188F"/>
    <w:rsid w:val="001B62AF"/>
    <w:rsid w:val="001C02CA"/>
    <w:rsid w:val="001C44A7"/>
    <w:rsid w:val="002475A7"/>
    <w:rsid w:val="00256269"/>
    <w:rsid w:val="00267154"/>
    <w:rsid w:val="00273028"/>
    <w:rsid w:val="002942C6"/>
    <w:rsid w:val="002C1047"/>
    <w:rsid w:val="002E79AD"/>
    <w:rsid w:val="002F2323"/>
    <w:rsid w:val="00333565"/>
    <w:rsid w:val="00361F31"/>
    <w:rsid w:val="003940D3"/>
    <w:rsid w:val="003A7CC4"/>
    <w:rsid w:val="003D791B"/>
    <w:rsid w:val="003E3F97"/>
    <w:rsid w:val="00443F94"/>
    <w:rsid w:val="00493E41"/>
    <w:rsid w:val="004958D6"/>
    <w:rsid w:val="004D428C"/>
    <w:rsid w:val="004E3D14"/>
    <w:rsid w:val="005326BF"/>
    <w:rsid w:val="005B3BFB"/>
    <w:rsid w:val="005C6BEC"/>
    <w:rsid w:val="005D6DFB"/>
    <w:rsid w:val="005F6E75"/>
    <w:rsid w:val="00607184"/>
    <w:rsid w:val="00610E7C"/>
    <w:rsid w:val="006179BD"/>
    <w:rsid w:val="00671EB9"/>
    <w:rsid w:val="0067376C"/>
    <w:rsid w:val="006746AB"/>
    <w:rsid w:val="006A0D1D"/>
    <w:rsid w:val="006C445E"/>
    <w:rsid w:val="006D1951"/>
    <w:rsid w:val="006E4875"/>
    <w:rsid w:val="006F393E"/>
    <w:rsid w:val="007172BB"/>
    <w:rsid w:val="0074767D"/>
    <w:rsid w:val="0075185E"/>
    <w:rsid w:val="00755DDE"/>
    <w:rsid w:val="00770680"/>
    <w:rsid w:val="007744CF"/>
    <w:rsid w:val="00787C7D"/>
    <w:rsid w:val="007A5848"/>
    <w:rsid w:val="007E1A74"/>
    <w:rsid w:val="007E2F95"/>
    <w:rsid w:val="00861C3D"/>
    <w:rsid w:val="008A6B27"/>
    <w:rsid w:val="008A7119"/>
    <w:rsid w:val="008C1555"/>
    <w:rsid w:val="009014F5"/>
    <w:rsid w:val="00983D80"/>
    <w:rsid w:val="00984E59"/>
    <w:rsid w:val="0098584F"/>
    <w:rsid w:val="009F539E"/>
    <w:rsid w:val="00A13AC0"/>
    <w:rsid w:val="00AA599E"/>
    <w:rsid w:val="00AB326C"/>
    <w:rsid w:val="00AD3892"/>
    <w:rsid w:val="00AE386B"/>
    <w:rsid w:val="00AF23CE"/>
    <w:rsid w:val="00B2313C"/>
    <w:rsid w:val="00B33AB9"/>
    <w:rsid w:val="00B771BD"/>
    <w:rsid w:val="00B97FC8"/>
    <w:rsid w:val="00BE0BC3"/>
    <w:rsid w:val="00BE5344"/>
    <w:rsid w:val="00C129C6"/>
    <w:rsid w:val="00C605AA"/>
    <w:rsid w:val="00C66E70"/>
    <w:rsid w:val="00C72AB8"/>
    <w:rsid w:val="00C86561"/>
    <w:rsid w:val="00C93BA5"/>
    <w:rsid w:val="00CA198B"/>
    <w:rsid w:val="00CC2A0E"/>
    <w:rsid w:val="00CC406F"/>
    <w:rsid w:val="00CD66AE"/>
    <w:rsid w:val="00CF5632"/>
    <w:rsid w:val="00D467B3"/>
    <w:rsid w:val="00D75770"/>
    <w:rsid w:val="00DC15B7"/>
    <w:rsid w:val="00DC39A2"/>
    <w:rsid w:val="00DD3301"/>
    <w:rsid w:val="00E24269"/>
    <w:rsid w:val="00E4124B"/>
    <w:rsid w:val="00E44FDC"/>
    <w:rsid w:val="00E66025"/>
    <w:rsid w:val="00E70170"/>
    <w:rsid w:val="00E810FA"/>
    <w:rsid w:val="00EA3EED"/>
    <w:rsid w:val="00EA5B39"/>
    <w:rsid w:val="00EE5C0A"/>
    <w:rsid w:val="00F12B44"/>
    <w:rsid w:val="00F25290"/>
    <w:rsid w:val="00F344FF"/>
    <w:rsid w:val="00F47743"/>
    <w:rsid w:val="00F5103B"/>
    <w:rsid w:val="00F5604F"/>
    <w:rsid w:val="00FA11A0"/>
    <w:rsid w:val="00FC1837"/>
    <w:rsid w:val="00FD1105"/>
    <w:rsid w:val="00FD2A49"/>
    <w:rsid w:val="00FD65F3"/>
    <w:rsid w:val="00FE0796"/>
    <w:rsid w:val="00FF147E"/>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uiPriority="35"/>
    <w:lsdException w:name="table of figures" w:semiHidden="0"/>
    <w:lsdException w:name="envelope address" w:unhideWhenUsed="1"/>
    <w:lsdException w:name="envelope return" w:unhideWhenUsed="1"/>
    <w:lsdException w:name="annotation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AA599E"/>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BE5344"/>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BE5344"/>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BE5344"/>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BE5344"/>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BE5344"/>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BE5344"/>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BE5344"/>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BE5344"/>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BE5344"/>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E5344"/>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rsid w:val="002475A7"/>
    <w:rPr>
      <w:rFonts w:ascii="Arial" w:hAnsi="Arial"/>
      <w:sz w:val="20"/>
    </w:rPr>
  </w:style>
  <w:style w:type="paragraph" w:styleId="Sidfot">
    <w:name w:val="footer"/>
    <w:basedOn w:val="Normal"/>
    <w:link w:val="SidfotChar"/>
    <w:uiPriority w:val="99"/>
    <w:rsid w:val="00BE5344"/>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2475A7"/>
    <w:rPr>
      <w:rFonts w:ascii="Arial" w:hAnsi="Arial"/>
      <w:sz w:val="16"/>
    </w:rPr>
  </w:style>
  <w:style w:type="table" w:styleId="Tabellrutnt">
    <w:name w:val="Table Grid"/>
    <w:basedOn w:val="Normaltabell"/>
    <w:uiPriority w:val="59"/>
    <w:rsid w:val="00BE5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BE5344"/>
    <w:rPr>
      <w:rFonts w:ascii="Tahoma" w:hAnsi="Tahoma" w:cs="Tahoma"/>
      <w:sz w:val="16"/>
      <w:szCs w:val="16"/>
    </w:rPr>
  </w:style>
  <w:style w:type="character" w:customStyle="1" w:styleId="BallongtextChar">
    <w:name w:val="Ballongtext Char"/>
    <w:basedOn w:val="Standardstycketeckensnitt"/>
    <w:link w:val="Ballongtext"/>
    <w:uiPriority w:val="99"/>
    <w:semiHidden/>
    <w:rsid w:val="00BE5344"/>
    <w:rPr>
      <w:rFonts w:ascii="Tahoma" w:hAnsi="Tahoma" w:cs="Tahoma"/>
      <w:sz w:val="16"/>
      <w:szCs w:val="16"/>
    </w:rPr>
  </w:style>
  <w:style w:type="paragraph" w:styleId="Brdtext">
    <w:name w:val="Body Text"/>
    <w:basedOn w:val="Normal"/>
    <w:link w:val="BrdtextChar"/>
    <w:uiPriority w:val="99"/>
    <w:qFormat/>
    <w:rsid w:val="00BE5344"/>
  </w:style>
  <w:style w:type="character" w:customStyle="1" w:styleId="BrdtextChar">
    <w:name w:val="Brödtext Char"/>
    <w:basedOn w:val="Standardstycketeckensnitt"/>
    <w:link w:val="Brdtext"/>
    <w:uiPriority w:val="99"/>
    <w:rsid w:val="00BE5344"/>
    <w:rPr>
      <w:rFonts w:ascii="Times New Roman" w:hAnsi="Times New Roman"/>
      <w:sz w:val="24"/>
    </w:rPr>
  </w:style>
  <w:style w:type="character" w:customStyle="1" w:styleId="Rubrik1Char">
    <w:name w:val="Rubrik 1 Char"/>
    <w:basedOn w:val="Standardstycketeckensnitt"/>
    <w:link w:val="Rubrik1"/>
    <w:uiPriority w:val="9"/>
    <w:rsid w:val="00BE5344"/>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BE5344"/>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5344"/>
    <w:rPr>
      <w:rFonts w:ascii="Arial" w:eastAsiaTheme="majorEastAsia" w:hAnsi="Arial" w:cstheme="majorBidi"/>
      <w:bCs/>
      <w:sz w:val="24"/>
    </w:rPr>
  </w:style>
  <w:style w:type="character" w:customStyle="1" w:styleId="Rubrik4Char">
    <w:name w:val="Rubrik 4 Char"/>
    <w:basedOn w:val="Standardstycketeckensnitt"/>
    <w:link w:val="Rubrik4"/>
    <w:uiPriority w:val="9"/>
    <w:rsid w:val="00BE5344"/>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BE5344"/>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BE5344"/>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BE5344"/>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BE5344"/>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BE5344"/>
    <w:rPr>
      <w:rFonts w:ascii="Arial" w:eastAsiaTheme="majorEastAsia" w:hAnsi="Arial" w:cstheme="majorBidi"/>
      <w:iCs/>
      <w:sz w:val="20"/>
      <w:szCs w:val="20"/>
    </w:rPr>
  </w:style>
  <w:style w:type="paragraph" w:customStyle="1" w:styleId="Dokumenttyp">
    <w:name w:val="Dokumenttyp"/>
    <w:basedOn w:val="Normal"/>
    <w:semiHidden/>
    <w:rsid w:val="00BE5344"/>
    <w:pPr>
      <w:spacing w:after="40"/>
    </w:pPr>
    <w:rPr>
      <w:rFonts w:ascii="Arial" w:hAnsi="Arial"/>
      <w:b/>
      <w:sz w:val="20"/>
    </w:rPr>
  </w:style>
  <w:style w:type="paragraph" w:customStyle="1" w:styleId="Ledtext">
    <w:name w:val="Ledtext"/>
    <w:basedOn w:val="Normal"/>
    <w:semiHidden/>
    <w:rsid w:val="00BE5344"/>
    <w:pPr>
      <w:spacing w:before="40" w:after="20"/>
    </w:pPr>
    <w:rPr>
      <w:rFonts w:ascii="Arial" w:hAnsi="Arial"/>
      <w:sz w:val="14"/>
    </w:rPr>
  </w:style>
  <w:style w:type="character" w:styleId="Sidnummer">
    <w:name w:val="page number"/>
    <w:basedOn w:val="Standardstycketeckensnitt"/>
    <w:uiPriority w:val="99"/>
    <w:semiHidden/>
    <w:rsid w:val="00BE5344"/>
    <w:rPr>
      <w:sz w:val="16"/>
    </w:rPr>
  </w:style>
  <w:style w:type="character" w:styleId="Hyperlnk">
    <w:name w:val="Hyperlink"/>
    <w:basedOn w:val="Standardstycketeckensnitt"/>
    <w:uiPriority w:val="99"/>
    <w:semiHidden/>
    <w:rsid w:val="00BE5344"/>
    <w:rPr>
      <w:color w:val="0000FF" w:themeColor="hyperlink"/>
      <w:u w:val="single"/>
    </w:rPr>
  </w:style>
  <w:style w:type="paragraph" w:styleId="Innehll1">
    <w:name w:val="toc 1"/>
    <w:basedOn w:val="Normal"/>
    <w:next w:val="Normal"/>
    <w:uiPriority w:val="39"/>
    <w:semiHidden/>
    <w:rsid w:val="00BE5344"/>
    <w:pPr>
      <w:spacing w:before="240" w:after="120"/>
      <w:ind w:left="397" w:hanging="397"/>
    </w:pPr>
    <w:rPr>
      <w:rFonts w:ascii="Arial" w:hAnsi="Arial"/>
      <w:b/>
      <w:caps/>
      <w:sz w:val="20"/>
    </w:rPr>
  </w:style>
  <w:style w:type="paragraph" w:styleId="Innehll2">
    <w:name w:val="toc 2"/>
    <w:basedOn w:val="Normal"/>
    <w:next w:val="Normal"/>
    <w:uiPriority w:val="39"/>
    <w:semiHidden/>
    <w:rsid w:val="00BE5344"/>
    <w:pPr>
      <w:spacing w:before="20" w:after="40"/>
      <w:ind w:left="964" w:hanging="567"/>
    </w:pPr>
    <w:rPr>
      <w:rFonts w:ascii="Arial" w:hAnsi="Arial"/>
      <w:sz w:val="20"/>
    </w:rPr>
  </w:style>
  <w:style w:type="paragraph" w:styleId="Innehll3">
    <w:name w:val="toc 3"/>
    <w:basedOn w:val="Normal"/>
    <w:next w:val="Normal"/>
    <w:uiPriority w:val="39"/>
    <w:semiHidden/>
    <w:rsid w:val="00BE5344"/>
    <w:pPr>
      <w:spacing w:before="20" w:after="40"/>
      <w:ind w:left="1701" w:hanging="737"/>
    </w:pPr>
    <w:rPr>
      <w:rFonts w:ascii="Arial" w:hAnsi="Arial"/>
      <w:sz w:val="20"/>
    </w:rPr>
  </w:style>
  <w:style w:type="paragraph" w:styleId="Citat">
    <w:name w:val="Quote"/>
    <w:basedOn w:val="Normal"/>
    <w:next w:val="Normal"/>
    <w:link w:val="CitatChar"/>
    <w:uiPriority w:val="29"/>
    <w:rsid w:val="00BE5344"/>
    <w:pPr>
      <w:ind w:left="567" w:right="567"/>
    </w:pPr>
    <w:rPr>
      <w:i/>
      <w:iCs/>
      <w:color w:val="000000" w:themeColor="text1"/>
    </w:rPr>
  </w:style>
  <w:style w:type="character" w:customStyle="1" w:styleId="CitatChar">
    <w:name w:val="Citat Char"/>
    <w:basedOn w:val="Standardstycketeckensnitt"/>
    <w:link w:val="Citat"/>
    <w:uiPriority w:val="29"/>
    <w:rsid w:val="00BE5344"/>
    <w:rPr>
      <w:rFonts w:ascii="Times New Roman" w:hAnsi="Times New Roman"/>
      <w:i/>
      <w:iCs/>
      <w:color w:val="000000" w:themeColor="text1"/>
      <w:sz w:val="24"/>
    </w:rPr>
  </w:style>
  <w:style w:type="paragraph" w:styleId="Figurfrteckning">
    <w:name w:val="table of figures"/>
    <w:basedOn w:val="Normal"/>
    <w:next w:val="Normal"/>
    <w:uiPriority w:val="99"/>
    <w:semiHidden/>
    <w:rsid w:val="00BE5344"/>
    <w:rPr>
      <w:rFonts w:ascii="Arial" w:hAnsi="Arial"/>
      <w:sz w:val="18"/>
    </w:rPr>
  </w:style>
  <w:style w:type="paragraph" w:styleId="Beskrivning">
    <w:name w:val="caption"/>
    <w:basedOn w:val="Normal"/>
    <w:next w:val="Normal"/>
    <w:uiPriority w:val="35"/>
    <w:semiHidden/>
    <w:rsid w:val="00BE5344"/>
    <w:pPr>
      <w:spacing w:after="200"/>
    </w:pPr>
    <w:rPr>
      <w:rFonts w:ascii="Arial" w:hAnsi="Arial"/>
      <w:bCs/>
      <w:sz w:val="20"/>
      <w:szCs w:val="18"/>
    </w:rPr>
  </w:style>
  <w:style w:type="paragraph" w:styleId="Punktlista">
    <w:name w:val="List Bullet"/>
    <w:basedOn w:val="Normal"/>
    <w:uiPriority w:val="99"/>
    <w:rsid w:val="00BE5344"/>
    <w:pPr>
      <w:numPr>
        <w:numId w:val="5"/>
      </w:numPr>
      <w:contextualSpacing/>
    </w:pPr>
  </w:style>
  <w:style w:type="paragraph" w:styleId="Numreradlista">
    <w:name w:val="List Number"/>
    <w:basedOn w:val="Normal"/>
    <w:uiPriority w:val="99"/>
    <w:rsid w:val="00BE5344"/>
    <w:pPr>
      <w:numPr>
        <w:numId w:val="6"/>
      </w:numPr>
      <w:contextualSpacing/>
    </w:pPr>
  </w:style>
  <w:style w:type="paragraph" w:customStyle="1" w:styleId="Namnfrtydligande">
    <w:name w:val="Namnförtydligande"/>
    <w:basedOn w:val="Brdtext"/>
    <w:next w:val="Rubrik4"/>
    <w:semiHidden/>
    <w:rsid w:val="00C93BA5"/>
    <w:pPr>
      <w:keepLines/>
      <w:tabs>
        <w:tab w:val="left" w:pos="3402"/>
      </w:tabs>
      <w:spacing w:before="1000" w:after="800"/>
    </w:pPr>
  </w:style>
  <w:style w:type="paragraph" w:customStyle="1" w:styleId="Blankettnr">
    <w:name w:val="Blankettnr"/>
    <w:basedOn w:val="Ledtext"/>
    <w:semiHidden/>
    <w:rsid w:val="00BE5344"/>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1C44A7"/>
    <w:rPr>
      <w:i/>
      <w:color w:val="0000FF"/>
    </w:rPr>
  </w:style>
  <w:style w:type="paragraph" w:customStyle="1" w:styleId="Tabelltext">
    <w:name w:val="Tabelltext"/>
    <w:basedOn w:val="Brdtext"/>
    <w:qFormat/>
    <w:rsid w:val="0075185E"/>
    <w:pPr>
      <w:spacing w:before="40" w:after="40" w:line="220" w:lineRule="atLeast"/>
    </w:pPr>
    <w:rPr>
      <w:rFonts w:ascii="Arial" w:hAnsi="Arial"/>
      <w:sz w:val="16"/>
    </w:rPr>
  </w:style>
  <w:style w:type="table" w:customStyle="1" w:styleId="Transportstyrelsen">
    <w:name w:val="Transportstyrelsen"/>
    <w:basedOn w:val="Normaltabell"/>
    <w:uiPriority w:val="99"/>
    <w:rsid w:val="00C93BA5"/>
    <w:pPr>
      <w:spacing w:after="0" w:line="240" w:lineRule="auto"/>
    </w:pPr>
    <w:tblP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customStyle="1" w:styleId="CM4">
    <w:name w:val="CM4"/>
    <w:basedOn w:val="Normal"/>
    <w:next w:val="Normal"/>
    <w:uiPriority w:val="99"/>
    <w:rsid w:val="00AA599E"/>
    <w:pPr>
      <w:autoSpaceDE w:val="0"/>
      <w:autoSpaceDN w:val="0"/>
      <w:adjustRightInd w:val="0"/>
    </w:pPr>
    <w:rPr>
      <w:rFonts w:ascii="EUAlbertina" w:hAnsi="EUAlbertina"/>
      <w:szCs w:val="24"/>
    </w:rPr>
  </w:style>
</w:styles>
</file>

<file path=word/webSettings.xml><?xml version="1.0" encoding="utf-8"?>
<w:webSettings xmlns:r="http://schemas.openxmlformats.org/officeDocument/2006/relationships" xmlns:w="http://schemas.openxmlformats.org/wordprocessingml/2006/main">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FD2DD-330E-42E6-ABDB-2D08D4AC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2658</Words>
  <Characters>17383</Characters>
  <Application>Microsoft Office Word</Application>
  <DocSecurity>0</DocSecurity>
  <Lines>572</Lines>
  <Paragraphs>162</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20018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ulbe05</dc:creator>
  <cp:lastModifiedBy>ulbe05</cp:lastModifiedBy>
  <cp:revision>2</cp:revision>
  <cp:lastPrinted>2016-04-21T08:59:00Z</cp:lastPrinted>
  <dcterms:created xsi:type="dcterms:W3CDTF">2016-04-21T14:17:00Z</dcterms:created>
  <dcterms:modified xsi:type="dcterms:W3CDTF">2016-04-21T14:17:00Z</dcterms:modified>
</cp:coreProperties>
</file>